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AA7DFB" w14:textId="172C0A5A" w:rsidR="006412AC" w:rsidRPr="00E67783" w:rsidRDefault="006412AC" w:rsidP="00E67783">
      <w:pPr>
        <w:spacing w:line="360" w:lineRule="auto"/>
        <w:jc w:val="center"/>
        <w:rPr>
          <w:rFonts w:ascii="Times New Roman" w:hAnsi="Times New Roman" w:cs="Times New Roman"/>
          <w:b/>
          <w:sz w:val="28"/>
          <w:szCs w:val="28"/>
        </w:rPr>
      </w:pPr>
      <w:bookmarkStart w:id="0" w:name="_Hlk42598832"/>
      <w:r w:rsidRPr="00E67783">
        <w:rPr>
          <w:rFonts w:ascii="Times New Roman" w:hAnsi="Times New Roman" w:cs="Times New Roman"/>
          <w:b/>
          <w:sz w:val="28"/>
          <w:szCs w:val="28"/>
        </w:rPr>
        <w:t xml:space="preserve">Detección del polimorfismo -174 G&gt;C del gen </w:t>
      </w:r>
      <w:r w:rsidRPr="00E67783">
        <w:rPr>
          <w:rFonts w:ascii="Times New Roman" w:hAnsi="Times New Roman" w:cs="Times New Roman"/>
          <w:b/>
          <w:i/>
          <w:iCs/>
          <w:sz w:val="28"/>
          <w:szCs w:val="28"/>
        </w:rPr>
        <w:t>IL-6</w:t>
      </w:r>
      <w:r w:rsidRPr="00E67783">
        <w:rPr>
          <w:rFonts w:ascii="Times New Roman" w:hAnsi="Times New Roman" w:cs="Times New Roman"/>
          <w:b/>
          <w:sz w:val="28"/>
          <w:szCs w:val="28"/>
        </w:rPr>
        <w:t xml:space="preserve"> en pacientes con periodontitis</w:t>
      </w:r>
      <w:r w:rsidR="00A93AF1" w:rsidRPr="00E67783">
        <w:rPr>
          <w:rFonts w:ascii="Times New Roman" w:hAnsi="Times New Roman" w:cs="Times New Roman"/>
          <w:b/>
          <w:sz w:val="28"/>
          <w:szCs w:val="28"/>
        </w:rPr>
        <w:t>.</w:t>
      </w:r>
    </w:p>
    <w:p w14:paraId="5509DFA4" w14:textId="451A1129" w:rsidR="006412AC" w:rsidRPr="00E67783" w:rsidRDefault="006412AC" w:rsidP="00E67783">
      <w:pPr>
        <w:spacing w:line="360" w:lineRule="auto"/>
        <w:rPr>
          <w:rFonts w:ascii="Times New Roman" w:hAnsi="Times New Roman" w:cs="Times New Roman"/>
          <w:sz w:val="24"/>
          <w:szCs w:val="24"/>
        </w:rPr>
      </w:pPr>
    </w:p>
    <w:p w14:paraId="1338D2D0" w14:textId="218143C2" w:rsidR="00B763AE" w:rsidRPr="00DB15D0" w:rsidRDefault="00B763AE" w:rsidP="00E67783">
      <w:pPr>
        <w:spacing w:line="360" w:lineRule="auto"/>
        <w:jc w:val="both"/>
        <w:rPr>
          <w:rFonts w:ascii="Times New Roman" w:hAnsi="Times New Roman" w:cs="Times New Roman"/>
          <w:sz w:val="24"/>
          <w:szCs w:val="24"/>
          <w:lang w:val="es-ES"/>
        </w:rPr>
      </w:pPr>
      <w:r w:rsidRPr="00DB15D0">
        <w:rPr>
          <w:rFonts w:ascii="Times New Roman" w:hAnsi="Times New Roman" w:cs="Times New Roman"/>
          <w:sz w:val="24"/>
          <w:szCs w:val="24"/>
          <w:lang w:val="es-ES"/>
        </w:rPr>
        <w:t>Lorena Ruiz-García</w:t>
      </w:r>
      <w:r w:rsidRPr="00DB15D0">
        <w:rPr>
          <w:rFonts w:ascii="Times New Roman" w:hAnsi="Times New Roman" w:cs="Times New Roman"/>
          <w:sz w:val="24"/>
          <w:szCs w:val="24"/>
          <w:vertAlign w:val="superscript"/>
          <w:lang w:val="es-ES"/>
        </w:rPr>
        <w:t>1</w:t>
      </w:r>
      <w:r w:rsidRPr="00DB15D0">
        <w:rPr>
          <w:rFonts w:ascii="Times New Roman" w:hAnsi="Times New Roman" w:cs="Times New Roman"/>
          <w:sz w:val="24"/>
          <w:szCs w:val="24"/>
          <w:lang w:val="es-ES"/>
        </w:rPr>
        <w:t>, José Alejandro Cruz-Rubio</w:t>
      </w:r>
      <w:r w:rsidRPr="00DB15D0">
        <w:rPr>
          <w:rFonts w:ascii="Times New Roman" w:hAnsi="Times New Roman" w:cs="Times New Roman"/>
          <w:sz w:val="24"/>
          <w:szCs w:val="24"/>
          <w:vertAlign w:val="superscript"/>
          <w:lang w:val="es-ES"/>
        </w:rPr>
        <w:t>2</w:t>
      </w:r>
      <w:r w:rsidRPr="00DB15D0">
        <w:rPr>
          <w:rFonts w:ascii="Times New Roman" w:hAnsi="Times New Roman" w:cs="Times New Roman"/>
          <w:sz w:val="24"/>
          <w:szCs w:val="24"/>
          <w:lang w:val="es-ES"/>
        </w:rPr>
        <w:t xml:space="preserve">, Bertha </w:t>
      </w:r>
      <w:proofErr w:type="spellStart"/>
      <w:r w:rsidRPr="00DB15D0">
        <w:rPr>
          <w:rFonts w:ascii="Times New Roman" w:hAnsi="Times New Roman" w:cs="Times New Roman"/>
          <w:sz w:val="24"/>
          <w:szCs w:val="24"/>
          <w:lang w:val="es-ES"/>
        </w:rPr>
        <w:t>Arelly</w:t>
      </w:r>
      <w:proofErr w:type="spellEnd"/>
      <w:r w:rsidRPr="00DB15D0">
        <w:rPr>
          <w:rFonts w:ascii="Times New Roman" w:hAnsi="Times New Roman" w:cs="Times New Roman"/>
          <w:sz w:val="24"/>
          <w:szCs w:val="24"/>
          <w:lang w:val="es-ES"/>
        </w:rPr>
        <w:t xml:space="preserve"> Carrillo-Ávila</w:t>
      </w:r>
      <w:r w:rsidRPr="00DB15D0">
        <w:rPr>
          <w:rFonts w:ascii="Times New Roman" w:hAnsi="Times New Roman" w:cs="Times New Roman"/>
          <w:sz w:val="24"/>
          <w:szCs w:val="24"/>
          <w:vertAlign w:val="superscript"/>
          <w:lang w:val="es-ES"/>
        </w:rPr>
        <w:t>2</w:t>
      </w:r>
      <w:r w:rsidRPr="00DB15D0">
        <w:rPr>
          <w:rFonts w:ascii="Times New Roman" w:hAnsi="Times New Roman" w:cs="Times New Roman"/>
          <w:sz w:val="24"/>
          <w:szCs w:val="24"/>
          <w:lang w:val="es-ES"/>
        </w:rPr>
        <w:t>, Eduardo Sauri-Esquivel</w:t>
      </w:r>
      <w:r w:rsidRPr="00DB15D0">
        <w:rPr>
          <w:rFonts w:ascii="Times New Roman" w:hAnsi="Times New Roman" w:cs="Times New Roman"/>
          <w:sz w:val="24"/>
          <w:szCs w:val="24"/>
          <w:vertAlign w:val="superscript"/>
          <w:lang w:val="es-ES"/>
        </w:rPr>
        <w:t>2</w:t>
      </w:r>
      <w:r w:rsidRPr="00DB15D0">
        <w:rPr>
          <w:rFonts w:ascii="Times New Roman" w:hAnsi="Times New Roman" w:cs="Times New Roman"/>
          <w:sz w:val="24"/>
          <w:szCs w:val="24"/>
          <w:lang w:val="es-ES"/>
        </w:rPr>
        <w:t xml:space="preserve">, </w:t>
      </w:r>
      <w:r w:rsidR="00EB700E">
        <w:rPr>
          <w:rFonts w:ascii="Times New Roman" w:hAnsi="Times New Roman" w:cs="Times New Roman"/>
          <w:sz w:val="24"/>
          <w:szCs w:val="24"/>
          <w:lang w:val="es-ES"/>
        </w:rPr>
        <w:t>Guillermo Valencia-Pacheco</w:t>
      </w:r>
      <w:r w:rsidR="00EB700E">
        <w:rPr>
          <w:rFonts w:ascii="Times New Roman" w:hAnsi="Times New Roman" w:cs="Times New Roman"/>
          <w:sz w:val="24"/>
          <w:szCs w:val="24"/>
          <w:vertAlign w:val="superscript"/>
          <w:lang w:val="es-ES"/>
        </w:rPr>
        <w:t>1</w:t>
      </w:r>
      <w:r w:rsidR="00EB700E">
        <w:rPr>
          <w:rFonts w:ascii="Times New Roman" w:hAnsi="Times New Roman" w:cs="Times New Roman"/>
          <w:sz w:val="24"/>
          <w:szCs w:val="24"/>
          <w:lang w:val="es-ES"/>
        </w:rPr>
        <w:t xml:space="preserve">, </w:t>
      </w:r>
      <w:r w:rsidRPr="00DB15D0">
        <w:rPr>
          <w:rFonts w:ascii="Times New Roman" w:hAnsi="Times New Roman" w:cs="Times New Roman"/>
          <w:sz w:val="24"/>
          <w:szCs w:val="24"/>
          <w:lang w:val="es-ES"/>
        </w:rPr>
        <w:t>Nina Valadez-González</w:t>
      </w:r>
      <w:r w:rsidRPr="00DB15D0">
        <w:rPr>
          <w:rFonts w:ascii="Times New Roman" w:hAnsi="Times New Roman" w:cs="Times New Roman"/>
          <w:sz w:val="24"/>
          <w:szCs w:val="24"/>
          <w:vertAlign w:val="superscript"/>
          <w:lang w:val="es-ES"/>
        </w:rPr>
        <w:t>1</w:t>
      </w:r>
      <w:r w:rsidRPr="00DB15D0">
        <w:rPr>
          <w:rFonts w:ascii="Times New Roman" w:hAnsi="Times New Roman" w:cs="Times New Roman"/>
          <w:sz w:val="24"/>
          <w:szCs w:val="24"/>
          <w:lang w:val="es-ES"/>
        </w:rPr>
        <w:t>, Víctor Manuel Martínez-Aguilar</w:t>
      </w:r>
      <w:r w:rsidR="00EB700E">
        <w:rPr>
          <w:rFonts w:ascii="Times New Roman" w:hAnsi="Times New Roman" w:cs="Times New Roman"/>
          <w:sz w:val="24"/>
          <w:szCs w:val="24"/>
          <w:lang w:val="es-ES"/>
        </w:rPr>
        <w:t xml:space="preserve"> </w:t>
      </w:r>
      <w:r w:rsidR="00EB700E">
        <w:rPr>
          <w:rFonts w:ascii="Times New Roman" w:hAnsi="Times New Roman" w:cs="Times New Roman"/>
          <w:sz w:val="24"/>
          <w:szCs w:val="24"/>
          <w:vertAlign w:val="superscript"/>
          <w:lang w:val="es-ES"/>
        </w:rPr>
        <w:t>1,2</w:t>
      </w:r>
      <w:r w:rsidRPr="00DB15D0">
        <w:rPr>
          <w:rFonts w:ascii="Times New Roman" w:hAnsi="Times New Roman" w:cs="Times New Roman"/>
          <w:sz w:val="24"/>
          <w:szCs w:val="24"/>
          <w:lang w:val="es-ES"/>
        </w:rPr>
        <w:t xml:space="preserve"> </w:t>
      </w:r>
    </w:p>
    <w:p w14:paraId="03A54E30" w14:textId="77777777" w:rsidR="00E67783" w:rsidRPr="00DB15D0" w:rsidRDefault="00B472B5" w:rsidP="00E67783">
      <w:pPr>
        <w:spacing w:line="360" w:lineRule="auto"/>
        <w:jc w:val="both"/>
        <w:rPr>
          <w:rFonts w:ascii="Times New Roman" w:hAnsi="Times New Roman" w:cs="Times New Roman"/>
          <w:sz w:val="24"/>
          <w:szCs w:val="24"/>
          <w:lang w:val="es-ES"/>
        </w:rPr>
      </w:pPr>
      <w:r w:rsidRPr="00DB15D0">
        <w:rPr>
          <w:rFonts w:ascii="Times New Roman" w:hAnsi="Times New Roman" w:cs="Times New Roman"/>
          <w:sz w:val="24"/>
          <w:szCs w:val="24"/>
          <w:vertAlign w:val="superscript"/>
          <w:lang w:val="es-ES"/>
        </w:rPr>
        <w:t>1</w:t>
      </w:r>
      <w:r w:rsidRPr="00DB15D0">
        <w:rPr>
          <w:rFonts w:ascii="Times New Roman" w:hAnsi="Times New Roman" w:cs="Times New Roman"/>
          <w:sz w:val="24"/>
          <w:szCs w:val="24"/>
          <w:lang w:val="es-ES"/>
        </w:rPr>
        <w:t xml:space="preserve"> Centro Regional de Investigaciones “Dr. Hideyo Noguchi”. Laboratorio de Hematología. Universidad Autónoma de Yucatán, Mérida, Yucatán, México. </w:t>
      </w:r>
    </w:p>
    <w:p w14:paraId="2088E852" w14:textId="59C3E660" w:rsidR="00B472B5" w:rsidRPr="00DB15D0" w:rsidRDefault="00B472B5" w:rsidP="00E67783">
      <w:pPr>
        <w:spacing w:line="360" w:lineRule="auto"/>
        <w:jc w:val="both"/>
        <w:rPr>
          <w:rFonts w:ascii="Times New Roman" w:hAnsi="Times New Roman" w:cs="Times New Roman"/>
          <w:sz w:val="24"/>
          <w:szCs w:val="24"/>
          <w:lang w:val="es-ES"/>
        </w:rPr>
      </w:pPr>
      <w:r w:rsidRPr="00DB15D0">
        <w:rPr>
          <w:rFonts w:ascii="Times New Roman" w:hAnsi="Times New Roman" w:cs="Times New Roman"/>
          <w:sz w:val="24"/>
          <w:szCs w:val="24"/>
          <w:vertAlign w:val="superscript"/>
          <w:lang w:val="es-ES"/>
        </w:rPr>
        <w:t>2</w:t>
      </w:r>
      <w:r w:rsidR="00D257CD">
        <w:rPr>
          <w:rFonts w:ascii="Times New Roman" w:hAnsi="Times New Roman" w:cs="Times New Roman"/>
          <w:sz w:val="24"/>
          <w:szCs w:val="24"/>
          <w:lang w:val="es-ES"/>
        </w:rPr>
        <w:t xml:space="preserve"> </w:t>
      </w:r>
      <w:r w:rsidRPr="00DB15D0">
        <w:rPr>
          <w:rFonts w:ascii="Times New Roman" w:hAnsi="Times New Roman" w:cs="Times New Roman"/>
          <w:sz w:val="24"/>
          <w:szCs w:val="24"/>
          <w:lang w:val="es-ES"/>
        </w:rPr>
        <w:t>Departamento de Periodoncia, Facultad</w:t>
      </w:r>
      <w:r w:rsidR="00DB15D0" w:rsidRPr="00DB15D0">
        <w:rPr>
          <w:rFonts w:ascii="Times New Roman" w:hAnsi="Times New Roman" w:cs="Times New Roman"/>
          <w:sz w:val="24"/>
          <w:szCs w:val="24"/>
          <w:lang w:val="es-ES"/>
        </w:rPr>
        <w:t xml:space="preserve"> de </w:t>
      </w:r>
      <w:r w:rsidR="00DB15D0">
        <w:rPr>
          <w:rFonts w:ascii="Times New Roman" w:hAnsi="Times New Roman" w:cs="Times New Roman"/>
          <w:sz w:val="24"/>
          <w:szCs w:val="24"/>
          <w:lang w:val="es-ES"/>
        </w:rPr>
        <w:t>O</w:t>
      </w:r>
      <w:r w:rsidRPr="00DB15D0">
        <w:rPr>
          <w:rFonts w:ascii="Times New Roman" w:hAnsi="Times New Roman" w:cs="Times New Roman"/>
          <w:sz w:val="24"/>
          <w:szCs w:val="24"/>
          <w:lang w:val="es-ES"/>
        </w:rPr>
        <w:t xml:space="preserve">dontología, Universidad Autónoma de Yucatán, Mérida, Yucatán, México. </w:t>
      </w:r>
    </w:p>
    <w:p w14:paraId="76587032" w14:textId="39D51ABC" w:rsidR="00E67783" w:rsidRPr="00DB15D0" w:rsidRDefault="00E67783" w:rsidP="00E67783">
      <w:pPr>
        <w:spacing w:line="360" w:lineRule="auto"/>
        <w:jc w:val="both"/>
        <w:rPr>
          <w:rFonts w:ascii="Times New Roman" w:hAnsi="Times New Roman" w:cs="Times New Roman"/>
          <w:sz w:val="24"/>
          <w:szCs w:val="24"/>
          <w:lang w:val="es-ES"/>
        </w:rPr>
      </w:pPr>
    </w:p>
    <w:p w14:paraId="3F6F7FC7" w14:textId="3385DB32" w:rsidR="00E67783" w:rsidRPr="00DB15D0" w:rsidRDefault="00E67783" w:rsidP="00E67783">
      <w:pPr>
        <w:spacing w:line="360" w:lineRule="auto"/>
        <w:jc w:val="both"/>
        <w:rPr>
          <w:rFonts w:ascii="Times New Roman" w:hAnsi="Times New Roman" w:cs="Times New Roman"/>
          <w:sz w:val="24"/>
          <w:szCs w:val="24"/>
          <w:lang w:val="es-ES"/>
        </w:rPr>
      </w:pPr>
    </w:p>
    <w:p w14:paraId="3136E834" w14:textId="2276E0F8" w:rsidR="00E67783" w:rsidRPr="00DB15D0" w:rsidRDefault="00E67783" w:rsidP="00E67783">
      <w:pPr>
        <w:spacing w:line="360" w:lineRule="auto"/>
        <w:jc w:val="both"/>
        <w:rPr>
          <w:rFonts w:ascii="Times New Roman" w:hAnsi="Times New Roman" w:cs="Times New Roman"/>
          <w:sz w:val="24"/>
          <w:szCs w:val="24"/>
          <w:lang w:val="es-ES"/>
        </w:rPr>
      </w:pPr>
    </w:p>
    <w:p w14:paraId="45A147E9" w14:textId="77777777" w:rsidR="00E67783" w:rsidRPr="00DB15D0" w:rsidRDefault="00E67783" w:rsidP="00E67783">
      <w:pPr>
        <w:spacing w:line="360" w:lineRule="auto"/>
        <w:jc w:val="both"/>
        <w:rPr>
          <w:rFonts w:ascii="Times New Roman" w:hAnsi="Times New Roman" w:cs="Times New Roman"/>
          <w:sz w:val="24"/>
          <w:szCs w:val="24"/>
          <w:lang w:val="es-ES"/>
        </w:rPr>
      </w:pPr>
    </w:p>
    <w:p w14:paraId="1810CEBD" w14:textId="77777777" w:rsidR="00E67783" w:rsidRPr="00DB15D0" w:rsidRDefault="00E67783" w:rsidP="00E67783">
      <w:pPr>
        <w:spacing w:line="360" w:lineRule="auto"/>
        <w:jc w:val="both"/>
        <w:rPr>
          <w:rFonts w:ascii="Times New Roman" w:hAnsi="Times New Roman" w:cs="Times New Roman"/>
          <w:sz w:val="24"/>
          <w:szCs w:val="24"/>
          <w:lang w:val="es-ES"/>
        </w:rPr>
      </w:pPr>
    </w:p>
    <w:p w14:paraId="779E61FE" w14:textId="103FCBDB" w:rsidR="00E67783" w:rsidRPr="00E67783" w:rsidRDefault="00B472B5" w:rsidP="00E67783">
      <w:pPr>
        <w:spacing w:line="360" w:lineRule="auto"/>
        <w:jc w:val="both"/>
        <w:rPr>
          <w:rFonts w:ascii="Times New Roman" w:hAnsi="Times New Roman" w:cs="Times New Roman"/>
          <w:sz w:val="24"/>
          <w:szCs w:val="24"/>
        </w:rPr>
      </w:pPr>
      <w:r w:rsidRPr="00DB15D0">
        <w:rPr>
          <w:rFonts w:ascii="Times New Roman" w:hAnsi="Times New Roman" w:cs="Times New Roman"/>
          <w:sz w:val="24"/>
          <w:szCs w:val="24"/>
          <w:lang w:val="es-ES"/>
        </w:rPr>
        <w:t>Autor para correspondencia: Víctor Manuel Martínez-Aguilar</w:t>
      </w:r>
      <w:r w:rsidR="00E67783" w:rsidRPr="00DB15D0">
        <w:rPr>
          <w:rFonts w:ascii="Times New Roman" w:hAnsi="Times New Roman" w:cs="Times New Roman"/>
          <w:sz w:val="24"/>
          <w:szCs w:val="24"/>
          <w:lang w:val="es-ES"/>
        </w:rPr>
        <w:t xml:space="preserve">, </w:t>
      </w:r>
      <w:r w:rsidRPr="00DB15D0">
        <w:rPr>
          <w:rFonts w:ascii="Times New Roman" w:hAnsi="Times New Roman" w:cs="Times New Roman"/>
          <w:sz w:val="24"/>
          <w:szCs w:val="24"/>
          <w:lang w:val="es-ES"/>
        </w:rPr>
        <w:t xml:space="preserve">Departamento de Periodoncia, Facultad de </w:t>
      </w:r>
      <w:r w:rsidR="00DB15D0">
        <w:rPr>
          <w:rFonts w:ascii="Times New Roman" w:hAnsi="Times New Roman" w:cs="Times New Roman"/>
          <w:sz w:val="24"/>
          <w:szCs w:val="24"/>
          <w:lang w:val="es-ES"/>
        </w:rPr>
        <w:t>O</w:t>
      </w:r>
      <w:r w:rsidRPr="00DB15D0">
        <w:rPr>
          <w:rFonts w:ascii="Times New Roman" w:hAnsi="Times New Roman" w:cs="Times New Roman"/>
          <w:sz w:val="24"/>
          <w:szCs w:val="24"/>
          <w:lang w:val="es-ES"/>
        </w:rPr>
        <w:t xml:space="preserve">dontología, Universidad Autónoma de Yucatán, </w:t>
      </w:r>
      <w:r w:rsidR="00E67783" w:rsidRPr="00DB15D0">
        <w:rPr>
          <w:rFonts w:ascii="Times New Roman" w:hAnsi="Times New Roman" w:cs="Times New Roman"/>
          <w:sz w:val="24"/>
          <w:szCs w:val="24"/>
          <w:lang w:val="es-ES"/>
        </w:rPr>
        <w:t xml:space="preserve">Calle 61A No.492A x Avenida </w:t>
      </w:r>
      <w:proofErr w:type="spellStart"/>
      <w:r w:rsidR="00E67783" w:rsidRPr="00DB15D0">
        <w:rPr>
          <w:rFonts w:ascii="Times New Roman" w:hAnsi="Times New Roman" w:cs="Times New Roman"/>
          <w:sz w:val="24"/>
          <w:szCs w:val="24"/>
          <w:lang w:val="es-ES"/>
        </w:rPr>
        <w:t>Itz</w:t>
      </w:r>
      <w:r w:rsidR="00DB15D0" w:rsidRPr="00DB15D0">
        <w:rPr>
          <w:rFonts w:ascii="Times New Roman" w:hAnsi="Times New Roman" w:cs="Times New Roman"/>
          <w:sz w:val="24"/>
          <w:szCs w:val="24"/>
          <w:lang w:val="es-ES"/>
        </w:rPr>
        <w:t>á</w:t>
      </w:r>
      <w:r w:rsidR="00E67783" w:rsidRPr="00DB15D0">
        <w:rPr>
          <w:rFonts w:ascii="Times New Roman" w:hAnsi="Times New Roman" w:cs="Times New Roman"/>
          <w:sz w:val="24"/>
          <w:szCs w:val="24"/>
          <w:lang w:val="es-ES"/>
        </w:rPr>
        <w:t>es</w:t>
      </w:r>
      <w:proofErr w:type="spellEnd"/>
      <w:r w:rsidR="00E67783" w:rsidRPr="00DB15D0">
        <w:rPr>
          <w:rFonts w:ascii="Times New Roman" w:hAnsi="Times New Roman" w:cs="Times New Roman"/>
          <w:sz w:val="24"/>
          <w:szCs w:val="24"/>
          <w:lang w:val="es-ES"/>
        </w:rPr>
        <w:t>, Colonia Centro, M</w:t>
      </w:r>
      <w:r w:rsidR="00DB15D0" w:rsidRPr="00DB15D0">
        <w:rPr>
          <w:rFonts w:ascii="Times New Roman" w:hAnsi="Times New Roman" w:cs="Times New Roman"/>
          <w:sz w:val="24"/>
          <w:szCs w:val="24"/>
          <w:lang w:val="es-ES"/>
        </w:rPr>
        <w:t>é</w:t>
      </w:r>
      <w:r w:rsidR="00E67783" w:rsidRPr="00DB15D0">
        <w:rPr>
          <w:rFonts w:ascii="Times New Roman" w:hAnsi="Times New Roman" w:cs="Times New Roman"/>
          <w:sz w:val="24"/>
          <w:szCs w:val="24"/>
          <w:lang w:val="es-ES"/>
        </w:rPr>
        <w:t>rida, Yucat</w:t>
      </w:r>
      <w:r w:rsidR="00DB15D0" w:rsidRPr="00DB15D0">
        <w:rPr>
          <w:rFonts w:ascii="Times New Roman" w:hAnsi="Times New Roman" w:cs="Times New Roman"/>
          <w:sz w:val="24"/>
          <w:szCs w:val="24"/>
          <w:lang w:val="es-ES"/>
        </w:rPr>
        <w:t>á</w:t>
      </w:r>
      <w:r w:rsidR="00E67783" w:rsidRPr="00DB15D0">
        <w:rPr>
          <w:rFonts w:ascii="Times New Roman" w:hAnsi="Times New Roman" w:cs="Times New Roman"/>
          <w:sz w:val="24"/>
          <w:szCs w:val="24"/>
          <w:lang w:val="es-ES"/>
        </w:rPr>
        <w:t>n, CP 97000, M</w:t>
      </w:r>
      <w:r w:rsidR="00DB15D0" w:rsidRPr="00DB15D0">
        <w:rPr>
          <w:rFonts w:ascii="Times New Roman" w:hAnsi="Times New Roman" w:cs="Times New Roman"/>
          <w:sz w:val="24"/>
          <w:szCs w:val="24"/>
          <w:lang w:val="es-ES"/>
        </w:rPr>
        <w:t>é</w:t>
      </w:r>
      <w:r w:rsidR="00E67783" w:rsidRPr="00DB15D0">
        <w:rPr>
          <w:rFonts w:ascii="Times New Roman" w:hAnsi="Times New Roman" w:cs="Times New Roman"/>
          <w:sz w:val="24"/>
          <w:szCs w:val="24"/>
          <w:lang w:val="es-ES"/>
        </w:rPr>
        <w:t xml:space="preserve">xico. Email: </w:t>
      </w:r>
      <w:hyperlink r:id="rId8" w:history="1">
        <w:r w:rsidR="00E67783" w:rsidRPr="00E67783">
          <w:rPr>
            <w:rFonts w:ascii="Times New Roman" w:hAnsi="Times New Roman" w:cs="Times New Roman"/>
            <w:sz w:val="24"/>
            <w:szCs w:val="24"/>
          </w:rPr>
          <w:t>victor.martinez@correo.uady.mx</w:t>
        </w:r>
      </w:hyperlink>
      <w:r w:rsidR="00E67783" w:rsidRPr="00DB15D0">
        <w:rPr>
          <w:rFonts w:ascii="Times New Roman" w:hAnsi="Times New Roman" w:cs="Times New Roman"/>
          <w:sz w:val="24"/>
          <w:szCs w:val="24"/>
          <w:lang w:val="es-ES"/>
        </w:rPr>
        <w:t xml:space="preserve">, </w:t>
      </w:r>
      <w:hyperlink r:id="rId9" w:history="1">
        <w:r w:rsidR="00E67783" w:rsidRPr="00E67783">
          <w:rPr>
            <w:rFonts w:ascii="Times New Roman" w:hAnsi="Times New Roman" w:cs="Times New Roman"/>
            <w:sz w:val="24"/>
            <w:szCs w:val="24"/>
          </w:rPr>
          <w:t>Tel:+529999240508</w:t>
        </w:r>
      </w:hyperlink>
    </w:p>
    <w:p w14:paraId="269EE0DD" w14:textId="12224DDA" w:rsidR="006412AC" w:rsidRPr="00AB61B9" w:rsidRDefault="006412AC" w:rsidP="00E67783">
      <w:pPr>
        <w:spacing w:line="360" w:lineRule="auto"/>
        <w:jc w:val="both"/>
        <w:rPr>
          <w:rFonts w:ascii="Times New Roman" w:hAnsi="Times New Roman" w:cs="Times New Roman"/>
          <w:sz w:val="24"/>
          <w:szCs w:val="24"/>
        </w:rPr>
      </w:pPr>
    </w:p>
    <w:p w14:paraId="4C7F27A2" w14:textId="1431CD1B" w:rsidR="006412AC" w:rsidRPr="00AB61B9" w:rsidRDefault="006412AC">
      <w:pPr>
        <w:spacing w:after="0" w:line="240" w:lineRule="auto"/>
        <w:rPr>
          <w:rFonts w:ascii="Times New Roman" w:hAnsi="Times New Roman" w:cs="Times New Roman"/>
          <w:b/>
          <w:sz w:val="24"/>
          <w:szCs w:val="24"/>
        </w:rPr>
      </w:pPr>
    </w:p>
    <w:p w14:paraId="06EB5D6A" w14:textId="47B1E085" w:rsidR="00EB700E" w:rsidRDefault="006412AC">
      <w:pPr>
        <w:spacing w:after="0" w:line="240" w:lineRule="auto"/>
        <w:rPr>
          <w:rFonts w:ascii="Times New Roman" w:hAnsi="Times New Roman" w:cs="Times New Roman"/>
          <w:b/>
          <w:sz w:val="24"/>
          <w:szCs w:val="24"/>
        </w:rPr>
      </w:pPr>
      <w:r w:rsidRPr="00AB61B9">
        <w:rPr>
          <w:rFonts w:ascii="Times New Roman" w:hAnsi="Times New Roman" w:cs="Times New Roman"/>
          <w:b/>
          <w:sz w:val="24"/>
          <w:szCs w:val="24"/>
        </w:rPr>
        <w:br w:type="page"/>
      </w:r>
    </w:p>
    <w:p w14:paraId="12F61E36" w14:textId="06F1C04F" w:rsidR="00EB700E" w:rsidRDefault="00EB700E" w:rsidP="00EB700E">
      <w:pPr>
        <w:spacing w:line="360" w:lineRule="auto"/>
        <w:jc w:val="center"/>
        <w:rPr>
          <w:rFonts w:ascii="Times New Roman" w:hAnsi="Times New Roman" w:cs="Times New Roman"/>
          <w:b/>
          <w:sz w:val="28"/>
          <w:szCs w:val="28"/>
        </w:rPr>
      </w:pPr>
      <w:r w:rsidRPr="00E67783">
        <w:rPr>
          <w:rFonts w:ascii="Times New Roman" w:hAnsi="Times New Roman" w:cs="Times New Roman"/>
          <w:b/>
          <w:sz w:val="28"/>
          <w:szCs w:val="28"/>
        </w:rPr>
        <w:lastRenderedPageBreak/>
        <w:t xml:space="preserve">Detección del polimorfismo -174 G&gt;C del gen </w:t>
      </w:r>
      <w:r w:rsidRPr="00E67783">
        <w:rPr>
          <w:rFonts w:ascii="Times New Roman" w:hAnsi="Times New Roman" w:cs="Times New Roman"/>
          <w:b/>
          <w:i/>
          <w:iCs/>
          <w:sz w:val="28"/>
          <w:szCs w:val="28"/>
        </w:rPr>
        <w:t>IL-6</w:t>
      </w:r>
      <w:r w:rsidRPr="00E67783">
        <w:rPr>
          <w:rFonts w:ascii="Times New Roman" w:hAnsi="Times New Roman" w:cs="Times New Roman"/>
          <w:b/>
          <w:sz w:val="28"/>
          <w:szCs w:val="28"/>
        </w:rPr>
        <w:t xml:space="preserve"> en pacientes con periodontitis.</w:t>
      </w:r>
    </w:p>
    <w:p w14:paraId="036B3D24" w14:textId="44154886" w:rsidR="00EB700E" w:rsidRDefault="00EB700E" w:rsidP="00EB700E">
      <w:pPr>
        <w:spacing w:line="360" w:lineRule="auto"/>
        <w:jc w:val="center"/>
        <w:rPr>
          <w:rFonts w:ascii="Times New Roman" w:hAnsi="Times New Roman" w:cs="Times New Roman"/>
          <w:b/>
          <w:sz w:val="28"/>
          <w:szCs w:val="28"/>
        </w:rPr>
      </w:pPr>
    </w:p>
    <w:p w14:paraId="6EBFBBFA" w14:textId="3FF7FA08" w:rsidR="00EB700E" w:rsidRPr="00922DCC" w:rsidRDefault="00EB700E" w:rsidP="00EB700E">
      <w:pPr>
        <w:spacing w:line="360" w:lineRule="auto"/>
      </w:pPr>
      <w:r w:rsidRPr="00922DCC">
        <w:rPr>
          <w:rFonts w:ascii="Times New Roman" w:hAnsi="Times New Roman" w:cs="Times New Roman"/>
          <w:sz w:val="24"/>
          <w:szCs w:val="24"/>
        </w:rPr>
        <w:t xml:space="preserve">Correo </w:t>
      </w:r>
      <w:r w:rsidR="00D257CD" w:rsidRPr="00922DCC">
        <w:rPr>
          <w:rFonts w:ascii="Times New Roman" w:hAnsi="Times New Roman" w:cs="Times New Roman"/>
          <w:sz w:val="24"/>
          <w:szCs w:val="24"/>
        </w:rPr>
        <w:t>electrónico</w:t>
      </w:r>
      <w:r w:rsidRPr="00922DCC">
        <w:rPr>
          <w:rFonts w:ascii="Times New Roman" w:hAnsi="Times New Roman" w:cs="Times New Roman"/>
          <w:sz w:val="24"/>
          <w:szCs w:val="24"/>
        </w:rPr>
        <w:t xml:space="preserve">, ORCID y </w:t>
      </w:r>
      <w:r w:rsidR="00D257CD" w:rsidRPr="00922DCC">
        <w:rPr>
          <w:rFonts w:ascii="Times New Roman" w:hAnsi="Times New Roman" w:cs="Times New Roman"/>
          <w:sz w:val="24"/>
          <w:szCs w:val="24"/>
        </w:rPr>
        <w:t>teléfono</w:t>
      </w:r>
      <w:r w:rsidRPr="00922DCC">
        <w:rPr>
          <w:rFonts w:ascii="Times New Roman" w:hAnsi="Times New Roman" w:cs="Times New Roman"/>
          <w:sz w:val="24"/>
          <w:szCs w:val="24"/>
        </w:rPr>
        <w:t>:</w:t>
      </w:r>
    </w:p>
    <w:p w14:paraId="4C9B4DBF" w14:textId="77777777" w:rsidR="00EB700E" w:rsidRPr="00922DCC" w:rsidRDefault="00EB700E" w:rsidP="00EB700E">
      <w:pPr>
        <w:spacing w:line="360" w:lineRule="auto"/>
        <w:rPr>
          <w:rFonts w:ascii="Times New Roman" w:hAnsi="Times New Roman" w:cs="Times New Roman"/>
          <w:sz w:val="24"/>
          <w:szCs w:val="24"/>
        </w:rPr>
      </w:pPr>
    </w:p>
    <w:p w14:paraId="7D026FD3" w14:textId="77777777" w:rsidR="00EB700E" w:rsidRPr="0083211B" w:rsidRDefault="00EB700E" w:rsidP="00EB700E">
      <w:pPr>
        <w:spacing w:line="360" w:lineRule="auto"/>
        <w:rPr>
          <w:rFonts w:ascii="Times New Roman" w:hAnsi="Times New Roman" w:cs="Times New Roman"/>
          <w:sz w:val="24"/>
          <w:szCs w:val="24"/>
        </w:rPr>
      </w:pPr>
      <w:r w:rsidRPr="00922DCC">
        <w:rPr>
          <w:rFonts w:ascii="Times New Roman" w:hAnsi="Times New Roman" w:cs="Times New Roman"/>
          <w:sz w:val="24"/>
          <w:szCs w:val="24"/>
        </w:rPr>
        <w:t xml:space="preserve">Lorena Ruiz-García. </w:t>
      </w:r>
      <w:hyperlink r:id="rId10" w:history="1">
        <w:r w:rsidRPr="00922DCC">
          <w:rPr>
            <w:rStyle w:val="Hipervnculo"/>
            <w:rFonts w:ascii="Times New Roman" w:hAnsi="Times New Roman" w:cs="Times New Roman"/>
            <w:sz w:val="24"/>
            <w:szCs w:val="24"/>
          </w:rPr>
          <w:t>lorelore_12@hotmail.com</w:t>
        </w:r>
      </w:hyperlink>
      <w:r w:rsidRPr="00922DCC">
        <w:rPr>
          <w:rFonts w:ascii="Times New Roman" w:hAnsi="Times New Roman" w:cs="Times New Roman"/>
          <w:sz w:val="24"/>
          <w:szCs w:val="24"/>
        </w:rPr>
        <w:t>, 0000-0001-6129-0433, +52</w:t>
      </w:r>
      <w:r w:rsidRPr="00922DCC">
        <w:t>999924575</w:t>
      </w:r>
    </w:p>
    <w:p w14:paraId="6188F0E1" w14:textId="77777777" w:rsidR="00EB700E" w:rsidRPr="00922DCC" w:rsidRDefault="00EB700E" w:rsidP="00EB700E">
      <w:pPr>
        <w:spacing w:line="360" w:lineRule="auto"/>
        <w:rPr>
          <w:rFonts w:ascii="Times New Roman" w:hAnsi="Times New Roman" w:cs="Times New Roman"/>
          <w:sz w:val="24"/>
          <w:szCs w:val="24"/>
        </w:rPr>
      </w:pPr>
      <w:r w:rsidRPr="00922DCC">
        <w:rPr>
          <w:rFonts w:ascii="Times New Roman" w:hAnsi="Times New Roman" w:cs="Times New Roman"/>
          <w:sz w:val="24"/>
          <w:szCs w:val="24"/>
        </w:rPr>
        <w:t xml:space="preserve">José Alejandro Cruz-Rubio. </w:t>
      </w:r>
      <w:hyperlink r:id="rId11" w:history="1">
        <w:r w:rsidRPr="00922DCC">
          <w:rPr>
            <w:rStyle w:val="Hipervnculo"/>
            <w:rFonts w:ascii="Times New Roman" w:hAnsi="Times New Roman" w:cs="Times New Roman"/>
            <w:sz w:val="24"/>
            <w:szCs w:val="24"/>
          </w:rPr>
          <w:t>ax_cruzito@hotmail.com</w:t>
        </w:r>
      </w:hyperlink>
      <w:r w:rsidRPr="00922DCC">
        <w:rPr>
          <w:rFonts w:ascii="Times New Roman" w:hAnsi="Times New Roman" w:cs="Times New Roman"/>
          <w:sz w:val="24"/>
          <w:szCs w:val="24"/>
        </w:rPr>
        <w:t>, 0000-0003-2500-4596, +529999240508</w:t>
      </w:r>
    </w:p>
    <w:p w14:paraId="5D8DD20F" w14:textId="77777777" w:rsidR="00EB700E" w:rsidRPr="00922DCC" w:rsidRDefault="00EB700E" w:rsidP="00EB700E">
      <w:pPr>
        <w:spacing w:line="360" w:lineRule="auto"/>
        <w:rPr>
          <w:rFonts w:ascii="Times New Roman" w:hAnsi="Times New Roman" w:cs="Times New Roman"/>
          <w:sz w:val="24"/>
          <w:szCs w:val="24"/>
        </w:rPr>
      </w:pPr>
      <w:r w:rsidRPr="00922DCC">
        <w:rPr>
          <w:rFonts w:ascii="Times New Roman" w:hAnsi="Times New Roman" w:cs="Times New Roman"/>
          <w:sz w:val="24"/>
          <w:szCs w:val="24"/>
        </w:rPr>
        <w:t xml:space="preserve">Bertha Arelly Carrillo-Ávila. </w:t>
      </w:r>
      <w:hyperlink r:id="rId12" w:history="1">
        <w:r w:rsidRPr="00922DCC">
          <w:rPr>
            <w:rStyle w:val="Hipervnculo"/>
            <w:rFonts w:ascii="Times New Roman" w:hAnsi="Times New Roman" w:cs="Times New Roman"/>
            <w:sz w:val="24"/>
            <w:szCs w:val="24"/>
          </w:rPr>
          <w:t>arelly.carrillo@hotmail.com</w:t>
        </w:r>
      </w:hyperlink>
      <w:r w:rsidRPr="00922DCC">
        <w:rPr>
          <w:rFonts w:ascii="Times New Roman" w:hAnsi="Times New Roman" w:cs="Times New Roman"/>
          <w:sz w:val="24"/>
          <w:szCs w:val="24"/>
        </w:rPr>
        <w:t>, 0000-0001-5894-4459, +529999240508</w:t>
      </w:r>
    </w:p>
    <w:p w14:paraId="24C07FFD" w14:textId="43AC51AE" w:rsidR="00EB700E" w:rsidRPr="00922DCC" w:rsidRDefault="00EB700E" w:rsidP="00EB700E">
      <w:pPr>
        <w:spacing w:line="360" w:lineRule="auto"/>
        <w:rPr>
          <w:rFonts w:ascii="Times New Roman" w:hAnsi="Times New Roman" w:cs="Times New Roman"/>
          <w:sz w:val="24"/>
          <w:szCs w:val="24"/>
        </w:rPr>
      </w:pPr>
      <w:r w:rsidRPr="00922DCC">
        <w:rPr>
          <w:rFonts w:ascii="Times New Roman" w:hAnsi="Times New Roman" w:cs="Times New Roman"/>
          <w:sz w:val="24"/>
          <w:szCs w:val="24"/>
        </w:rPr>
        <w:t xml:space="preserve">Eduardo Sauri-Esquivel.  </w:t>
      </w:r>
      <w:hyperlink r:id="rId13" w:history="1">
        <w:r w:rsidRPr="00922DCC">
          <w:rPr>
            <w:rStyle w:val="Hipervnculo"/>
            <w:rFonts w:ascii="Times New Roman" w:hAnsi="Times New Roman" w:cs="Times New Roman"/>
            <w:sz w:val="24"/>
            <w:szCs w:val="24"/>
          </w:rPr>
          <w:t>sesquive@correo.uady.mx</w:t>
        </w:r>
      </w:hyperlink>
      <w:r w:rsidRPr="00922DCC">
        <w:rPr>
          <w:rFonts w:ascii="Times New Roman" w:hAnsi="Times New Roman" w:cs="Times New Roman"/>
          <w:sz w:val="24"/>
          <w:szCs w:val="24"/>
        </w:rPr>
        <w:t>, 0000-0001-8633-7103, +529999240508</w:t>
      </w:r>
    </w:p>
    <w:p w14:paraId="22228EC4" w14:textId="55E1A639" w:rsidR="00EB700E" w:rsidRDefault="00EB700E" w:rsidP="00EB700E">
      <w:pPr>
        <w:spacing w:after="0" w:line="240" w:lineRule="auto"/>
        <w:rPr>
          <w:sz w:val="24"/>
          <w:szCs w:val="24"/>
        </w:rPr>
      </w:pPr>
      <w:r w:rsidRPr="00922DCC">
        <w:rPr>
          <w:rFonts w:ascii="Times New Roman" w:hAnsi="Times New Roman" w:cs="Times New Roman"/>
          <w:sz w:val="24"/>
          <w:szCs w:val="24"/>
        </w:rPr>
        <w:t xml:space="preserve">Guilermo Valencia-Pacheco. </w:t>
      </w:r>
      <w:hyperlink r:id="rId14" w:history="1">
        <w:r w:rsidRPr="00922DCC">
          <w:rPr>
            <w:rStyle w:val="Hipervnculo"/>
            <w:rFonts w:ascii="Times New Roman" w:hAnsi="Times New Roman" w:cs="Times New Roman"/>
            <w:sz w:val="24"/>
            <w:szCs w:val="24"/>
          </w:rPr>
          <w:t>vpacheco@correo.uady.mx</w:t>
        </w:r>
      </w:hyperlink>
      <w:r w:rsidRPr="00922DCC">
        <w:rPr>
          <w:rFonts w:ascii="Times New Roman" w:hAnsi="Times New Roman" w:cs="Times New Roman"/>
          <w:sz w:val="24"/>
          <w:szCs w:val="24"/>
        </w:rPr>
        <w:t xml:space="preserve">, </w:t>
      </w:r>
      <w:r>
        <w:t>0000-0002-6633-130X</w:t>
      </w:r>
    </w:p>
    <w:p w14:paraId="44C655B4" w14:textId="22CBA9A8" w:rsidR="00EB700E" w:rsidRPr="00922DCC" w:rsidRDefault="00EB700E" w:rsidP="00EB700E">
      <w:pPr>
        <w:spacing w:line="360" w:lineRule="auto"/>
        <w:rPr>
          <w:rFonts w:ascii="Times New Roman" w:hAnsi="Times New Roman" w:cs="Times New Roman"/>
          <w:sz w:val="24"/>
          <w:szCs w:val="24"/>
        </w:rPr>
      </w:pPr>
      <w:r w:rsidRPr="00922DCC">
        <w:rPr>
          <w:rFonts w:ascii="Times New Roman" w:hAnsi="Times New Roman" w:cs="Times New Roman"/>
          <w:sz w:val="24"/>
          <w:szCs w:val="24"/>
        </w:rPr>
        <w:t xml:space="preserve"> +529994250066</w:t>
      </w:r>
    </w:p>
    <w:p w14:paraId="07FACE07" w14:textId="77777777" w:rsidR="00EB700E" w:rsidRPr="0083211B" w:rsidRDefault="00EB700E" w:rsidP="00EB700E">
      <w:pPr>
        <w:spacing w:line="360" w:lineRule="auto"/>
        <w:rPr>
          <w:rFonts w:ascii="Times New Roman" w:hAnsi="Times New Roman" w:cs="Times New Roman"/>
          <w:sz w:val="24"/>
          <w:szCs w:val="24"/>
        </w:rPr>
      </w:pPr>
      <w:r w:rsidRPr="00922DCC">
        <w:rPr>
          <w:rFonts w:ascii="Times New Roman" w:hAnsi="Times New Roman" w:cs="Times New Roman"/>
          <w:sz w:val="24"/>
          <w:szCs w:val="24"/>
        </w:rPr>
        <w:t xml:space="preserve">Nina Valadez-González. 0000-0003-4584-7240. </w:t>
      </w:r>
      <w:hyperlink r:id="rId15" w:history="1">
        <w:r w:rsidRPr="00922DCC">
          <w:rPr>
            <w:rStyle w:val="Hipervnculo"/>
            <w:rFonts w:ascii="Times New Roman" w:hAnsi="Times New Roman" w:cs="Times New Roman"/>
            <w:sz w:val="24"/>
            <w:szCs w:val="24"/>
          </w:rPr>
          <w:t>valadez@correo.uady.mx</w:t>
        </w:r>
      </w:hyperlink>
      <w:r w:rsidRPr="00922DCC">
        <w:rPr>
          <w:rFonts w:ascii="Times New Roman" w:hAnsi="Times New Roman" w:cs="Times New Roman"/>
          <w:sz w:val="24"/>
          <w:szCs w:val="24"/>
        </w:rPr>
        <w:t>, +52</w:t>
      </w:r>
      <w:r w:rsidRPr="00922DCC">
        <w:t>999924575</w:t>
      </w:r>
    </w:p>
    <w:p w14:paraId="3BBE901A" w14:textId="77777777" w:rsidR="00EB700E" w:rsidRPr="00922DCC" w:rsidRDefault="00EB700E" w:rsidP="00EB700E">
      <w:pPr>
        <w:spacing w:line="360" w:lineRule="auto"/>
        <w:rPr>
          <w:rFonts w:ascii="Times New Roman" w:hAnsi="Times New Roman" w:cs="Times New Roman"/>
          <w:sz w:val="24"/>
          <w:szCs w:val="24"/>
        </w:rPr>
      </w:pPr>
      <w:r w:rsidRPr="00922DCC">
        <w:rPr>
          <w:rFonts w:ascii="Times New Roman" w:hAnsi="Times New Roman" w:cs="Times New Roman"/>
          <w:sz w:val="24"/>
          <w:szCs w:val="24"/>
        </w:rPr>
        <w:t xml:space="preserve">Víctor Manuel Martínez-Aguilar, </w:t>
      </w:r>
      <w:hyperlink r:id="rId16" w:history="1">
        <w:r w:rsidRPr="00922DCC">
          <w:rPr>
            <w:rStyle w:val="Hipervnculo"/>
            <w:rFonts w:ascii="Times New Roman" w:hAnsi="Times New Roman" w:cs="Times New Roman"/>
            <w:sz w:val="24"/>
            <w:szCs w:val="24"/>
          </w:rPr>
          <w:t>victor.martinez@correo.uady.mx</w:t>
        </w:r>
      </w:hyperlink>
      <w:r w:rsidRPr="00922DCC">
        <w:rPr>
          <w:rFonts w:ascii="Times New Roman" w:hAnsi="Times New Roman" w:cs="Times New Roman"/>
          <w:sz w:val="24"/>
          <w:szCs w:val="24"/>
        </w:rPr>
        <w:t>, 0000-0003-2188-5293, +529999240508</w:t>
      </w:r>
    </w:p>
    <w:p w14:paraId="7F8C0A3A" w14:textId="3A715333" w:rsidR="00EB700E" w:rsidRDefault="00EB700E" w:rsidP="00EB700E">
      <w:pPr>
        <w:spacing w:line="360" w:lineRule="auto"/>
        <w:jc w:val="center"/>
        <w:rPr>
          <w:rFonts w:ascii="Times New Roman" w:hAnsi="Times New Roman" w:cs="Times New Roman"/>
          <w:b/>
          <w:sz w:val="28"/>
          <w:szCs w:val="28"/>
        </w:rPr>
      </w:pPr>
    </w:p>
    <w:p w14:paraId="28919662" w14:textId="7442F2AF" w:rsidR="00EB700E" w:rsidRDefault="00EB700E" w:rsidP="00EB700E">
      <w:pPr>
        <w:spacing w:line="360" w:lineRule="auto"/>
        <w:jc w:val="center"/>
        <w:rPr>
          <w:rFonts w:ascii="Times New Roman" w:hAnsi="Times New Roman" w:cs="Times New Roman"/>
          <w:b/>
          <w:sz w:val="28"/>
          <w:szCs w:val="28"/>
        </w:rPr>
      </w:pPr>
    </w:p>
    <w:p w14:paraId="47650F8C" w14:textId="0B123DF6" w:rsidR="00EB700E" w:rsidRDefault="00EB700E" w:rsidP="00EB700E">
      <w:pPr>
        <w:spacing w:line="360" w:lineRule="auto"/>
        <w:jc w:val="center"/>
        <w:rPr>
          <w:rFonts w:ascii="Times New Roman" w:hAnsi="Times New Roman" w:cs="Times New Roman"/>
          <w:b/>
          <w:sz w:val="28"/>
          <w:szCs w:val="28"/>
        </w:rPr>
      </w:pPr>
    </w:p>
    <w:p w14:paraId="55DFC083" w14:textId="03E939A2" w:rsidR="00EB700E" w:rsidRDefault="00EB700E" w:rsidP="00EB700E">
      <w:pPr>
        <w:spacing w:line="360" w:lineRule="auto"/>
        <w:jc w:val="center"/>
        <w:rPr>
          <w:rFonts w:ascii="Times New Roman" w:hAnsi="Times New Roman" w:cs="Times New Roman"/>
          <w:b/>
          <w:sz w:val="28"/>
          <w:szCs w:val="28"/>
        </w:rPr>
      </w:pPr>
    </w:p>
    <w:p w14:paraId="0DFF3738" w14:textId="4CB2C008" w:rsidR="00EB700E" w:rsidRDefault="00EB700E">
      <w:pPr>
        <w:spacing w:after="0" w:line="240" w:lineRule="auto"/>
        <w:rPr>
          <w:rFonts w:ascii="Times New Roman" w:hAnsi="Times New Roman" w:cs="Times New Roman"/>
          <w:b/>
          <w:sz w:val="28"/>
          <w:szCs w:val="28"/>
        </w:rPr>
      </w:pPr>
    </w:p>
    <w:p w14:paraId="007DDF42" w14:textId="77EA8D1D" w:rsidR="00EB700E" w:rsidRDefault="00EB700E">
      <w:pPr>
        <w:spacing w:after="0" w:line="240" w:lineRule="auto"/>
        <w:rPr>
          <w:rFonts w:ascii="Times New Roman" w:hAnsi="Times New Roman" w:cs="Times New Roman"/>
          <w:b/>
          <w:sz w:val="28"/>
          <w:szCs w:val="28"/>
        </w:rPr>
      </w:pPr>
    </w:p>
    <w:p w14:paraId="4719A5D4" w14:textId="77777777" w:rsidR="001E5CE1" w:rsidRDefault="001E5CE1" w:rsidP="001E5CE1">
      <w:pPr>
        <w:spacing w:line="360" w:lineRule="auto"/>
        <w:rPr>
          <w:rFonts w:ascii="Times New Roman" w:hAnsi="Times New Roman" w:cs="Times New Roman"/>
          <w:b/>
          <w:sz w:val="24"/>
          <w:szCs w:val="24"/>
        </w:rPr>
      </w:pPr>
    </w:p>
    <w:p w14:paraId="0CB5BB91" w14:textId="4C35CD81" w:rsidR="00987AB4" w:rsidRPr="00E67783" w:rsidRDefault="00987AB4" w:rsidP="001E5CE1">
      <w:pPr>
        <w:spacing w:line="360" w:lineRule="auto"/>
        <w:jc w:val="center"/>
        <w:rPr>
          <w:rFonts w:ascii="Times New Roman" w:hAnsi="Times New Roman" w:cs="Times New Roman"/>
          <w:b/>
          <w:sz w:val="28"/>
          <w:szCs w:val="28"/>
        </w:rPr>
      </w:pPr>
      <w:r w:rsidRPr="00E67783">
        <w:rPr>
          <w:rFonts w:ascii="Times New Roman" w:hAnsi="Times New Roman" w:cs="Times New Roman"/>
          <w:b/>
          <w:sz w:val="28"/>
          <w:szCs w:val="28"/>
        </w:rPr>
        <w:lastRenderedPageBreak/>
        <w:t>Detección del pol</w:t>
      </w:r>
      <w:r w:rsidR="001E5CE1">
        <w:rPr>
          <w:rFonts w:ascii="Times New Roman" w:hAnsi="Times New Roman" w:cs="Times New Roman"/>
          <w:b/>
          <w:sz w:val="28"/>
          <w:szCs w:val="28"/>
        </w:rPr>
        <w:t>i</w:t>
      </w:r>
      <w:r w:rsidRPr="00E67783">
        <w:rPr>
          <w:rFonts w:ascii="Times New Roman" w:hAnsi="Times New Roman" w:cs="Times New Roman"/>
          <w:b/>
          <w:sz w:val="28"/>
          <w:szCs w:val="28"/>
        </w:rPr>
        <w:t xml:space="preserve">morfismo -174 G&gt;C del gen </w:t>
      </w:r>
      <w:r w:rsidRPr="00E67783">
        <w:rPr>
          <w:rFonts w:ascii="Times New Roman" w:hAnsi="Times New Roman" w:cs="Times New Roman"/>
          <w:b/>
          <w:i/>
          <w:iCs/>
          <w:sz w:val="28"/>
          <w:szCs w:val="28"/>
        </w:rPr>
        <w:t>IL-6</w:t>
      </w:r>
      <w:r w:rsidRPr="00E67783">
        <w:rPr>
          <w:rFonts w:ascii="Times New Roman" w:hAnsi="Times New Roman" w:cs="Times New Roman"/>
          <w:b/>
          <w:sz w:val="28"/>
          <w:szCs w:val="28"/>
        </w:rPr>
        <w:t xml:space="preserve"> en pacientes con periodontitis</w:t>
      </w:r>
    </w:p>
    <w:p w14:paraId="0E5BC571" w14:textId="71B24701" w:rsidR="00E67783" w:rsidRPr="003B0C9B" w:rsidRDefault="00987AB4" w:rsidP="00E67783">
      <w:pPr>
        <w:tabs>
          <w:tab w:val="left" w:pos="2355"/>
        </w:tabs>
        <w:spacing w:line="360" w:lineRule="auto"/>
        <w:rPr>
          <w:rFonts w:ascii="Times New Roman" w:hAnsi="Times New Roman" w:cs="Times New Roman"/>
          <w:sz w:val="24"/>
          <w:szCs w:val="24"/>
        </w:rPr>
      </w:pPr>
      <w:r w:rsidRPr="003B0C9B">
        <w:rPr>
          <w:rFonts w:ascii="Times New Roman" w:hAnsi="Times New Roman" w:cs="Times New Roman"/>
          <w:sz w:val="24"/>
          <w:szCs w:val="24"/>
        </w:rPr>
        <w:t xml:space="preserve">RESUMEN </w:t>
      </w:r>
    </w:p>
    <w:p w14:paraId="3EBE464C" w14:textId="270ED7B4" w:rsidR="00987AB4" w:rsidRPr="003B0C9B" w:rsidRDefault="00987AB4" w:rsidP="00E67783">
      <w:pPr>
        <w:tabs>
          <w:tab w:val="left" w:pos="1155"/>
        </w:tabs>
        <w:spacing w:after="0" w:line="360" w:lineRule="auto"/>
        <w:jc w:val="both"/>
        <w:rPr>
          <w:rFonts w:ascii="Times New Roman" w:hAnsi="Times New Roman" w:cs="Times New Roman"/>
          <w:sz w:val="24"/>
          <w:szCs w:val="24"/>
        </w:rPr>
      </w:pPr>
      <w:r w:rsidRPr="003B0C9B">
        <w:rPr>
          <w:rFonts w:ascii="Times New Roman" w:hAnsi="Times New Roman" w:cs="Times New Roman"/>
          <w:b/>
          <w:sz w:val="24"/>
          <w:szCs w:val="24"/>
        </w:rPr>
        <w:t>Antecedentes.</w:t>
      </w:r>
      <w:r w:rsidRPr="003B0C9B">
        <w:rPr>
          <w:rFonts w:ascii="Times New Roman" w:hAnsi="Times New Roman" w:cs="Times New Roman"/>
          <w:sz w:val="24"/>
          <w:szCs w:val="24"/>
        </w:rPr>
        <w:t xml:space="preserve"> </w:t>
      </w:r>
      <w:bookmarkStart w:id="1" w:name="_Hlk42599155"/>
      <w:r w:rsidRPr="003B0C9B">
        <w:rPr>
          <w:rFonts w:ascii="Times New Roman" w:hAnsi="Times New Roman" w:cs="Times New Roman"/>
          <w:sz w:val="24"/>
          <w:szCs w:val="24"/>
        </w:rPr>
        <w:t>Entre los factores de riesgo para periodontitis están descritos los genéticos, siendo la interleucina</w:t>
      </w:r>
      <w:r w:rsidR="00922DCC" w:rsidRPr="003B0C9B">
        <w:rPr>
          <w:rFonts w:ascii="Times New Roman" w:hAnsi="Times New Roman" w:cs="Times New Roman"/>
          <w:sz w:val="24"/>
          <w:szCs w:val="24"/>
        </w:rPr>
        <w:t xml:space="preserve"> </w:t>
      </w:r>
      <w:r w:rsidRPr="003B0C9B">
        <w:rPr>
          <w:rFonts w:ascii="Times New Roman" w:hAnsi="Times New Roman" w:cs="Times New Roman"/>
          <w:sz w:val="24"/>
          <w:szCs w:val="24"/>
        </w:rPr>
        <w:t>6 (IL-6) una cito</w:t>
      </w:r>
      <w:r w:rsidR="00922DCC" w:rsidRPr="003B0C9B">
        <w:rPr>
          <w:rFonts w:ascii="Times New Roman" w:hAnsi="Times New Roman" w:cs="Times New Roman"/>
          <w:sz w:val="24"/>
          <w:szCs w:val="24"/>
        </w:rPr>
        <w:t>c</w:t>
      </w:r>
      <w:r w:rsidRPr="003B0C9B">
        <w:rPr>
          <w:rFonts w:ascii="Times New Roman" w:hAnsi="Times New Roman" w:cs="Times New Roman"/>
          <w:sz w:val="24"/>
          <w:szCs w:val="24"/>
        </w:rPr>
        <w:t xml:space="preserve">ina implicada en el proceso </w:t>
      </w:r>
      <w:r w:rsidR="00922DCC" w:rsidRPr="003B0C9B">
        <w:rPr>
          <w:rFonts w:ascii="Times New Roman" w:hAnsi="Times New Roman" w:cs="Times New Roman"/>
          <w:sz w:val="24"/>
          <w:szCs w:val="24"/>
        </w:rPr>
        <w:t xml:space="preserve">inflamatorio </w:t>
      </w:r>
      <w:r w:rsidRPr="003B0C9B">
        <w:rPr>
          <w:rFonts w:ascii="Times New Roman" w:hAnsi="Times New Roman" w:cs="Times New Roman"/>
          <w:sz w:val="24"/>
          <w:szCs w:val="24"/>
        </w:rPr>
        <w:t>y destrucción</w:t>
      </w:r>
      <w:r w:rsidR="00AD7B2C" w:rsidRPr="003B0C9B">
        <w:rPr>
          <w:rFonts w:ascii="Times New Roman" w:hAnsi="Times New Roman" w:cs="Times New Roman"/>
          <w:sz w:val="24"/>
          <w:szCs w:val="24"/>
        </w:rPr>
        <w:t xml:space="preserve"> periodontal. Los polimorfismo</w:t>
      </w:r>
      <w:r w:rsidRPr="003B0C9B">
        <w:rPr>
          <w:rFonts w:ascii="Times New Roman" w:hAnsi="Times New Roman" w:cs="Times New Roman"/>
          <w:sz w:val="24"/>
          <w:szCs w:val="24"/>
        </w:rPr>
        <w:t xml:space="preserve">s </w:t>
      </w:r>
      <w:r w:rsidR="00AD7B2C" w:rsidRPr="003B0C9B">
        <w:rPr>
          <w:rFonts w:ascii="Times New Roman" w:hAnsi="Times New Roman" w:cs="Times New Roman"/>
          <w:sz w:val="24"/>
          <w:szCs w:val="24"/>
        </w:rPr>
        <w:t>en el gen</w:t>
      </w:r>
      <w:r w:rsidR="00922DCC" w:rsidRPr="003B0C9B">
        <w:rPr>
          <w:rFonts w:ascii="Times New Roman" w:hAnsi="Times New Roman" w:cs="Times New Roman"/>
          <w:sz w:val="24"/>
          <w:szCs w:val="24"/>
        </w:rPr>
        <w:t xml:space="preserve"> </w:t>
      </w:r>
      <w:r w:rsidR="00922DCC" w:rsidRPr="003B0C9B">
        <w:rPr>
          <w:rFonts w:ascii="Times New Roman" w:hAnsi="Times New Roman" w:cs="Times New Roman"/>
          <w:i/>
          <w:sz w:val="24"/>
          <w:szCs w:val="24"/>
        </w:rPr>
        <w:t>IL-6</w:t>
      </w:r>
      <w:r w:rsidR="00922DCC" w:rsidRPr="003B0C9B">
        <w:rPr>
          <w:rFonts w:ascii="Times New Roman" w:hAnsi="Times New Roman" w:cs="Times New Roman"/>
          <w:sz w:val="24"/>
          <w:szCs w:val="24"/>
        </w:rPr>
        <w:t xml:space="preserve"> </w:t>
      </w:r>
      <w:r w:rsidRPr="003B0C9B">
        <w:rPr>
          <w:rFonts w:ascii="Times New Roman" w:hAnsi="Times New Roman" w:cs="Times New Roman"/>
          <w:sz w:val="24"/>
          <w:szCs w:val="24"/>
        </w:rPr>
        <w:t xml:space="preserve">pueden explicar el riesgo de padecer la enfermedad en ciertas poblaciones. </w:t>
      </w:r>
    </w:p>
    <w:p w14:paraId="249B9AE4" w14:textId="4406C743" w:rsidR="00987AB4" w:rsidRPr="003B0C9B" w:rsidRDefault="00987AB4" w:rsidP="00E67783">
      <w:pPr>
        <w:tabs>
          <w:tab w:val="left" w:pos="1155"/>
        </w:tabs>
        <w:spacing w:after="0" w:line="360" w:lineRule="auto"/>
        <w:jc w:val="both"/>
        <w:rPr>
          <w:rFonts w:ascii="Times New Roman" w:hAnsi="Times New Roman" w:cs="Times New Roman"/>
          <w:sz w:val="24"/>
          <w:szCs w:val="24"/>
        </w:rPr>
      </w:pPr>
      <w:r w:rsidRPr="003B0C9B">
        <w:rPr>
          <w:rFonts w:ascii="Times New Roman" w:hAnsi="Times New Roman" w:cs="Times New Roman"/>
          <w:b/>
          <w:sz w:val="24"/>
          <w:szCs w:val="24"/>
        </w:rPr>
        <w:t>Objetivo</w:t>
      </w:r>
      <w:r w:rsidRPr="003B0C9B">
        <w:rPr>
          <w:rFonts w:ascii="Times New Roman" w:hAnsi="Times New Roman" w:cs="Times New Roman"/>
          <w:sz w:val="24"/>
          <w:szCs w:val="24"/>
        </w:rPr>
        <w:t xml:space="preserve">. Determinar la asociación del polimorfismo g.-174G&gt;C del gen </w:t>
      </w:r>
      <w:r w:rsidRPr="003B0C9B">
        <w:rPr>
          <w:rFonts w:ascii="Times New Roman" w:hAnsi="Times New Roman" w:cs="Times New Roman"/>
          <w:i/>
          <w:iCs/>
          <w:sz w:val="24"/>
          <w:szCs w:val="24"/>
        </w:rPr>
        <w:t>IL-6</w:t>
      </w:r>
      <w:r w:rsidRPr="003B0C9B">
        <w:rPr>
          <w:rFonts w:ascii="Times New Roman" w:hAnsi="Times New Roman" w:cs="Times New Roman"/>
          <w:sz w:val="24"/>
          <w:szCs w:val="24"/>
        </w:rPr>
        <w:t xml:space="preserve"> con la periodontitis. </w:t>
      </w:r>
      <w:bookmarkEnd w:id="1"/>
    </w:p>
    <w:p w14:paraId="0091E909" w14:textId="737B9745" w:rsidR="00987AB4" w:rsidRPr="002672C7" w:rsidRDefault="00987AB4" w:rsidP="00E67783">
      <w:pPr>
        <w:tabs>
          <w:tab w:val="left" w:pos="1155"/>
        </w:tabs>
        <w:spacing w:after="0" w:line="360" w:lineRule="auto"/>
        <w:jc w:val="both"/>
        <w:rPr>
          <w:rFonts w:ascii="Times New Roman" w:hAnsi="Times New Roman" w:cs="Times New Roman"/>
          <w:sz w:val="24"/>
          <w:szCs w:val="24"/>
        </w:rPr>
      </w:pPr>
      <w:r w:rsidRPr="002672C7">
        <w:rPr>
          <w:rFonts w:ascii="Times New Roman" w:hAnsi="Times New Roman" w:cs="Times New Roman"/>
          <w:b/>
          <w:bCs/>
          <w:sz w:val="24"/>
          <w:szCs w:val="24"/>
        </w:rPr>
        <w:t>Material y métodos.</w:t>
      </w:r>
      <w:r w:rsidRPr="003B0C9B">
        <w:rPr>
          <w:rFonts w:ascii="Times New Roman" w:hAnsi="Times New Roman" w:cs="Times New Roman"/>
          <w:sz w:val="24"/>
          <w:szCs w:val="24"/>
        </w:rPr>
        <w:t xml:space="preserve"> </w:t>
      </w:r>
      <w:bookmarkStart w:id="2" w:name="_Hlk42599183"/>
      <w:r w:rsidRPr="003B0C9B">
        <w:rPr>
          <w:rFonts w:ascii="Times New Roman" w:hAnsi="Times New Roman" w:cs="Times New Roman"/>
          <w:sz w:val="24"/>
          <w:szCs w:val="24"/>
        </w:rPr>
        <w:t>Estudio descriptivo transversal y prospectivo de casos y controles</w:t>
      </w:r>
      <w:r w:rsidR="00307C42" w:rsidRPr="003B0C9B">
        <w:rPr>
          <w:rFonts w:ascii="Times New Roman" w:hAnsi="Times New Roman" w:cs="Times New Roman"/>
          <w:sz w:val="24"/>
          <w:szCs w:val="24"/>
        </w:rPr>
        <w:t xml:space="preserve">. </w:t>
      </w:r>
      <w:r w:rsidR="0006609C" w:rsidRPr="003B0C9B">
        <w:rPr>
          <w:rFonts w:ascii="Times New Roman" w:hAnsi="Times New Roman" w:cs="Times New Roman"/>
          <w:sz w:val="24"/>
          <w:szCs w:val="24"/>
        </w:rPr>
        <w:t>S</w:t>
      </w:r>
      <w:r w:rsidRPr="003B0C9B">
        <w:rPr>
          <w:rFonts w:ascii="Times New Roman" w:hAnsi="Times New Roman" w:cs="Times New Roman"/>
          <w:sz w:val="24"/>
          <w:szCs w:val="24"/>
        </w:rPr>
        <w:t xml:space="preserve">e </w:t>
      </w:r>
      <w:r w:rsidR="0006609C" w:rsidRPr="003B0C9B">
        <w:rPr>
          <w:rFonts w:ascii="Times New Roman" w:hAnsi="Times New Roman" w:cs="Times New Roman"/>
          <w:sz w:val="24"/>
          <w:szCs w:val="24"/>
        </w:rPr>
        <w:t xml:space="preserve">analizaron </w:t>
      </w:r>
      <w:r w:rsidRPr="003B0C9B">
        <w:rPr>
          <w:rFonts w:ascii="Times New Roman" w:hAnsi="Times New Roman" w:cs="Times New Roman"/>
          <w:sz w:val="24"/>
          <w:szCs w:val="24"/>
        </w:rPr>
        <w:t>las frecuencias genotípicas y alélicas</w:t>
      </w:r>
      <w:r w:rsidR="00AD7B2C" w:rsidRPr="003B0C9B">
        <w:rPr>
          <w:rFonts w:ascii="Times New Roman" w:hAnsi="Times New Roman" w:cs="Times New Roman"/>
          <w:sz w:val="24"/>
          <w:szCs w:val="24"/>
        </w:rPr>
        <w:t xml:space="preserve"> de g.-174G&gt;C</w:t>
      </w:r>
      <w:r w:rsidR="0006609C" w:rsidRPr="003B0C9B">
        <w:rPr>
          <w:rFonts w:ascii="Times New Roman" w:hAnsi="Times New Roman" w:cs="Times New Roman"/>
          <w:sz w:val="24"/>
          <w:szCs w:val="24"/>
        </w:rPr>
        <w:t xml:space="preserve">, en 52 casos </w:t>
      </w:r>
      <w:r w:rsidR="00BD716A" w:rsidRPr="003B0C9B">
        <w:rPr>
          <w:rFonts w:ascii="Times New Roman" w:hAnsi="Times New Roman" w:cs="Times New Roman"/>
          <w:sz w:val="24"/>
          <w:szCs w:val="24"/>
        </w:rPr>
        <w:t xml:space="preserve">(grupo de casos) </w:t>
      </w:r>
      <w:r w:rsidR="0006609C" w:rsidRPr="003B0C9B">
        <w:rPr>
          <w:rFonts w:ascii="Times New Roman" w:hAnsi="Times New Roman" w:cs="Times New Roman"/>
          <w:sz w:val="24"/>
          <w:szCs w:val="24"/>
        </w:rPr>
        <w:t>con periodontitis y 50 controles</w:t>
      </w:r>
      <w:r w:rsidR="00BD716A" w:rsidRPr="003B0C9B">
        <w:rPr>
          <w:rFonts w:ascii="Times New Roman" w:hAnsi="Times New Roman" w:cs="Times New Roman"/>
          <w:sz w:val="24"/>
          <w:szCs w:val="24"/>
        </w:rPr>
        <w:t xml:space="preserve"> (grupo control)</w:t>
      </w:r>
      <w:r w:rsidR="0006609C" w:rsidRPr="003B0C9B">
        <w:rPr>
          <w:rFonts w:ascii="Times New Roman" w:hAnsi="Times New Roman" w:cs="Times New Roman"/>
          <w:sz w:val="24"/>
          <w:szCs w:val="24"/>
        </w:rPr>
        <w:t xml:space="preserve">, mediante la técnica de PCR cuantitativo. </w:t>
      </w:r>
      <w:r w:rsidRPr="003B0C9B">
        <w:rPr>
          <w:rFonts w:ascii="Times New Roman" w:hAnsi="Times New Roman" w:cs="Times New Roman"/>
          <w:sz w:val="24"/>
          <w:szCs w:val="24"/>
        </w:rPr>
        <w:t>Se determinó la asociación del polimorfismo con el riesgo para periodontitis, mediante análisis univariado</w:t>
      </w:r>
      <w:r w:rsidR="00307C42" w:rsidRPr="003B0C9B">
        <w:rPr>
          <w:rFonts w:ascii="Times New Roman" w:hAnsi="Times New Roman" w:cs="Times New Roman"/>
          <w:sz w:val="24"/>
          <w:szCs w:val="24"/>
        </w:rPr>
        <w:t>.</w:t>
      </w:r>
      <w:r w:rsidRPr="003B0C9B">
        <w:rPr>
          <w:rFonts w:ascii="Times New Roman" w:hAnsi="Times New Roman" w:cs="Times New Roman"/>
          <w:sz w:val="24"/>
          <w:szCs w:val="24"/>
        </w:rPr>
        <w:t xml:space="preserve"> </w:t>
      </w:r>
      <w:r w:rsidR="00BD716A" w:rsidRPr="003B0C9B">
        <w:rPr>
          <w:rFonts w:ascii="Times New Roman" w:hAnsi="Times New Roman" w:cs="Times New Roman"/>
          <w:sz w:val="24"/>
          <w:szCs w:val="24"/>
        </w:rPr>
        <w:t>El</w:t>
      </w:r>
      <w:r w:rsidRPr="003B0C9B">
        <w:rPr>
          <w:rFonts w:ascii="Times New Roman" w:hAnsi="Times New Roman" w:cs="Times New Roman"/>
          <w:sz w:val="24"/>
          <w:szCs w:val="24"/>
        </w:rPr>
        <w:t xml:space="preserve"> grupo de casos se comparó con el de control</w:t>
      </w:r>
      <w:bookmarkEnd w:id="2"/>
      <w:r w:rsidRPr="002672C7">
        <w:rPr>
          <w:rFonts w:ascii="Times New Roman" w:hAnsi="Times New Roman" w:cs="Times New Roman"/>
          <w:sz w:val="24"/>
          <w:szCs w:val="24"/>
        </w:rPr>
        <w:t xml:space="preserve">. </w:t>
      </w:r>
    </w:p>
    <w:p w14:paraId="78A5A754" w14:textId="63472E97" w:rsidR="00987AB4" w:rsidRPr="003B0C9B" w:rsidRDefault="00987AB4" w:rsidP="00E67783">
      <w:pPr>
        <w:tabs>
          <w:tab w:val="left" w:pos="1155"/>
        </w:tabs>
        <w:spacing w:after="0" w:line="360" w:lineRule="auto"/>
        <w:jc w:val="both"/>
        <w:rPr>
          <w:rFonts w:ascii="Times New Roman" w:hAnsi="Times New Roman" w:cs="Times New Roman"/>
          <w:sz w:val="24"/>
          <w:szCs w:val="24"/>
        </w:rPr>
      </w:pPr>
      <w:r w:rsidRPr="002672C7">
        <w:rPr>
          <w:rFonts w:ascii="Times New Roman" w:hAnsi="Times New Roman" w:cs="Times New Roman"/>
          <w:b/>
          <w:bCs/>
          <w:sz w:val="24"/>
          <w:szCs w:val="24"/>
        </w:rPr>
        <w:t>Resultados.</w:t>
      </w:r>
      <w:r w:rsidRPr="003B0C9B">
        <w:rPr>
          <w:rFonts w:ascii="Times New Roman" w:hAnsi="Times New Roman" w:cs="Times New Roman"/>
          <w:sz w:val="24"/>
          <w:szCs w:val="24"/>
        </w:rPr>
        <w:t xml:space="preserve"> </w:t>
      </w:r>
      <w:bookmarkStart w:id="3" w:name="_Hlk42599210"/>
      <w:r w:rsidRPr="003B0C9B">
        <w:rPr>
          <w:rFonts w:ascii="Times New Roman" w:hAnsi="Times New Roman" w:cs="Times New Roman"/>
          <w:sz w:val="24"/>
          <w:szCs w:val="24"/>
        </w:rPr>
        <w:t>El genotipo homocigoto silvestre GG fue el más prevalente</w:t>
      </w:r>
      <w:r w:rsidR="0006609C" w:rsidRPr="003B0C9B">
        <w:rPr>
          <w:rFonts w:ascii="Times New Roman" w:hAnsi="Times New Roman" w:cs="Times New Roman"/>
          <w:sz w:val="24"/>
          <w:szCs w:val="24"/>
        </w:rPr>
        <w:t xml:space="preserve"> (</w:t>
      </w:r>
      <w:r w:rsidRPr="003B0C9B">
        <w:rPr>
          <w:rFonts w:ascii="Times New Roman" w:hAnsi="Times New Roman" w:cs="Times New Roman"/>
          <w:sz w:val="24"/>
          <w:szCs w:val="24"/>
        </w:rPr>
        <w:t>90.4%</w:t>
      </w:r>
      <w:r w:rsidR="0006609C" w:rsidRPr="003B0C9B">
        <w:rPr>
          <w:rFonts w:ascii="Times New Roman" w:hAnsi="Times New Roman" w:cs="Times New Roman"/>
          <w:sz w:val="24"/>
          <w:szCs w:val="24"/>
        </w:rPr>
        <w:t>)</w:t>
      </w:r>
      <w:r w:rsidRPr="003B0C9B">
        <w:rPr>
          <w:rFonts w:ascii="Times New Roman" w:hAnsi="Times New Roman" w:cs="Times New Roman"/>
          <w:sz w:val="24"/>
          <w:szCs w:val="24"/>
        </w:rPr>
        <w:t xml:space="preserve"> en los casos </w:t>
      </w:r>
      <w:r w:rsidR="0006609C" w:rsidRPr="003B0C9B">
        <w:rPr>
          <w:rFonts w:ascii="Times New Roman" w:hAnsi="Times New Roman" w:cs="Times New Roman"/>
          <w:sz w:val="24"/>
          <w:szCs w:val="24"/>
        </w:rPr>
        <w:t>con respecto a los controles (</w:t>
      </w:r>
      <w:r w:rsidRPr="003B0C9B">
        <w:rPr>
          <w:rFonts w:ascii="Times New Roman" w:hAnsi="Times New Roman" w:cs="Times New Roman"/>
          <w:sz w:val="24"/>
          <w:szCs w:val="24"/>
        </w:rPr>
        <w:t>78%</w:t>
      </w:r>
      <w:r w:rsidR="0006609C" w:rsidRPr="003B0C9B">
        <w:rPr>
          <w:rFonts w:ascii="Times New Roman" w:hAnsi="Times New Roman" w:cs="Times New Roman"/>
          <w:sz w:val="24"/>
          <w:szCs w:val="24"/>
        </w:rPr>
        <w:t>)</w:t>
      </w:r>
      <w:r w:rsidRPr="003B0C9B">
        <w:rPr>
          <w:rFonts w:ascii="Times New Roman" w:hAnsi="Times New Roman" w:cs="Times New Roman"/>
          <w:sz w:val="24"/>
          <w:szCs w:val="24"/>
        </w:rPr>
        <w:t>,</w:t>
      </w:r>
      <w:r w:rsidR="0006609C" w:rsidRPr="003B0C9B">
        <w:rPr>
          <w:rFonts w:ascii="Times New Roman" w:hAnsi="Times New Roman" w:cs="Times New Roman"/>
          <w:sz w:val="24"/>
          <w:szCs w:val="24"/>
        </w:rPr>
        <w:t xml:space="preserve"> al igual que e</w:t>
      </w:r>
      <w:r w:rsidRPr="003B0C9B">
        <w:rPr>
          <w:rFonts w:ascii="Times New Roman" w:hAnsi="Times New Roman" w:cs="Times New Roman"/>
          <w:sz w:val="24"/>
          <w:szCs w:val="24"/>
        </w:rPr>
        <w:t xml:space="preserve">l alelo G </w:t>
      </w:r>
      <w:r w:rsidR="0006609C" w:rsidRPr="003B0C9B">
        <w:rPr>
          <w:rFonts w:ascii="Times New Roman" w:hAnsi="Times New Roman" w:cs="Times New Roman"/>
          <w:sz w:val="24"/>
          <w:szCs w:val="24"/>
        </w:rPr>
        <w:t>(95.2% y 88%, respectivamente</w:t>
      </w:r>
      <w:bookmarkEnd w:id="3"/>
      <w:r w:rsidRPr="003B0C9B">
        <w:rPr>
          <w:rFonts w:ascii="Times New Roman" w:hAnsi="Times New Roman" w:cs="Times New Roman"/>
          <w:sz w:val="24"/>
          <w:szCs w:val="24"/>
        </w:rPr>
        <w:t xml:space="preserve">. </w:t>
      </w:r>
      <w:r w:rsidR="0006609C" w:rsidRPr="003B0C9B">
        <w:rPr>
          <w:rFonts w:ascii="Times New Roman" w:hAnsi="Times New Roman" w:cs="Times New Roman"/>
          <w:sz w:val="24"/>
          <w:szCs w:val="24"/>
        </w:rPr>
        <w:t>El genotipo homocigoto mutado CC se observó disminuido en los controles y ausente en los casos. El análisis no mostró asociación del polimorfismo g.-174 G/C con la periodontitis</w:t>
      </w:r>
    </w:p>
    <w:p w14:paraId="0611300A" w14:textId="44AE4347" w:rsidR="00987AB4" w:rsidRPr="00FF2B4C" w:rsidRDefault="00987AB4" w:rsidP="00E67783">
      <w:pPr>
        <w:tabs>
          <w:tab w:val="left" w:pos="1155"/>
        </w:tabs>
        <w:spacing w:line="360" w:lineRule="auto"/>
        <w:jc w:val="both"/>
        <w:rPr>
          <w:rFonts w:ascii="Times New Roman" w:hAnsi="Times New Roman" w:cs="Times New Roman"/>
          <w:sz w:val="24"/>
          <w:szCs w:val="24"/>
        </w:rPr>
      </w:pPr>
      <w:r w:rsidRPr="002672C7">
        <w:rPr>
          <w:rFonts w:ascii="Times New Roman" w:hAnsi="Times New Roman" w:cs="Times New Roman"/>
          <w:b/>
          <w:bCs/>
          <w:sz w:val="24"/>
          <w:szCs w:val="24"/>
        </w:rPr>
        <w:t>Conclusión.</w:t>
      </w:r>
      <w:r w:rsidRPr="003B0C9B">
        <w:rPr>
          <w:rFonts w:ascii="Times New Roman" w:hAnsi="Times New Roman" w:cs="Times New Roman"/>
          <w:sz w:val="24"/>
          <w:szCs w:val="24"/>
        </w:rPr>
        <w:t xml:space="preserve"> </w:t>
      </w:r>
      <w:bookmarkStart w:id="4" w:name="_Hlk42599243"/>
      <w:r w:rsidRPr="003B0C9B">
        <w:rPr>
          <w:rFonts w:ascii="Times New Roman" w:hAnsi="Times New Roman" w:cs="Times New Roman"/>
          <w:sz w:val="24"/>
          <w:szCs w:val="24"/>
        </w:rPr>
        <w:t>No se observó asociación entre el polimorfismo g.-174 G/C y la periodontitis.</w:t>
      </w:r>
      <w:r w:rsidRPr="00834A58">
        <w:rPr>
          <w:rFonts w:ascii="Times New Roman" w:hAnsi="Times New Roman" w:cs="Times New Roman"/>
          <w:sz w:val="24"/>
          <w:szCs w:val="24"/>
        </w:rPr>
        <w:t xml:space="preserve"> </w:t>
      </w:r>
      <w:bookmarkEnd w:id="4"/>
    </w:p>
    <w:p w14:paraId="28A240D2" w14:textId="77777777" w:rsidR="00E67783" w:rsidRPr="002672C7" w:rsidRDefault="00E67783" w:rsidP="00E67783">
      <w:pPr>
        <w:tabs>
          <w:tab w:val="left" w:pos="2355"/>
        </w:tabs>
        <w:spacing w:after="0" w:line="360" w:lineRule="auto"/>
        <w:rPr>
          <w:rFonts w:ascii="Times New Roman" w:hAnsi="Times New Roman" w:cs="Times New Roman"/>
          <w:sz w:val="24"/>
          <w:szCs w:val="24"/>
        </w:rPr>
      </w:pPr>
    </w:p>
    <w:p w14:paraId="5C6CABA6" w14:textId="2F353E42" w:rsidR="00987AB4" w:rsidRPr="002672C7" w:rsidRDefault="00987AB4" w:rsidP="00E67783">
      <w:pPr>
        <w:tabs>
          <w:tab w:val="left" w:pos="2355"/>
        </w:tabs>
        <w:spacing w:after="0" w:line="360" w:lineRule="auto"/>
        <w:rPr>
          <w:rFonts w:ascii="Times New Roman" w:hAnsi="Times New Roman" w:cs="Times New Roman"/>
          <w:sz w:val="24"/>
          <w:szCs w:val="24"/>
        </w:rPr>
      </w:pPr>
      <w:r w:rsidRPr="002672C7">
        <w:rPr>
          <w:rFonts w:ascii="Times New Roman" w:hAnsi="Times New Roman" w:cs="Times New Roman"/>
          <w:sz w:val="24"/>
          <w:szCs w:val="24"/>
        </w:rPr>
        <w:t xml:space="preserve">Palabras clave </w:t>
      </w:r>
    </w:p>
    <w:p w14:paraId="74CB7164" w14:textId="556E8FB8" w:rsidR="00987AB4" w:rsidRDefault="00987AB4" w:rsidP="00CD098B">
      <w:pPr>
        <w:tabs>
          <w:tab w:val="left" w:pos="2355"/>
        </w:tabs>
        <w:spacing w:line="360" w:lineRule="auto"/>
        <w:rPr>
          <w:rFonts w:ascii="Times New Roman" w:hAnsi="Times New Roman" w:cs="Times New Roman"/>
          <w:sz w:val="24"/>
          <w:szCs w:val="24"/>
        </w:rPr>
      </w:pPr>
      <w:bookmarkStart w:id="5" w:name="_Hlk42598959"/>
      <w:r w:rsidRPr="00516934">
        <w:rPr>
          <w:rFonts w:ascii="Times New Roman" w:hAnsi="Times New Roman" w:cs="Times New Roman"/>
          <w:sz w:val="24"/>
          <w:szCs w:val="24"/>
        </w:rPr>
        <w:t xml:space="preserve">Periodontitis, </w:t>
      </w:r>
      <w:r w:rsidR="00307C42">
        <w:rPr>
          <w:rFonts w:ascii="Times New Roman" w:hAnsi="Times New Roman" w:cs="Times New Roman"/>
          <w:sz w:val="24"/>
          <w:szCs w:val="24"/>
        </w:rPr>
        <w:t xml:space="preserve">gen </w:t>
      </w:r>
      <w:r w:rsidR="00307C42" w:rsidRPr="002672C7">
        <w:rPr>
          <w:rFonts w:ascii="Times New Roman" w:hAnsi="Times New Roman" w:cs="Times New Roman"/>
          <w:sz w:val="24"/>
          <w:szCs w:val="24"/>
        </w:rPr>
        <w:t>IL-6</w:t>
      </w:r>
      <w:r w:rsidRPr="00516934">
        <w:rPr>
          <w:rFonts w:ascii="Times New Roman" w:hAnsi="Times New Roman" w:cs="Times New Roman"/>
          <w:sz w:val="24"/>
          <w:szCs w:val="24"/>
        </w:rPr>
        <w:t xml:space="preserve">, </w:t>
      </w:r>
      <w:r w:rsidR="00EB700E">
        <w:rPr>
          <w:rFonts w:ascii="Times New Roman" w:hAnsi="Times New Roman" w:cs="Times New Roman"/>
          <w:sz w:val="24"/>
          <w:szCs w:val="24"/>
        </w:rPr>
        <w:t>Polimorfismo g.-174 G/C</w:t>
      </w:r>
      <w:bookmarkEnd w:id="5"/>
      <w:r w:rsidR="00307C42">
        <w:rPr>
          <w:rFonts w:ascii="Times New Roman" w:hAnsi="Times New Roman" w:cs="Times New Roman"/>
          <w:sz w:val="24"/>
          <w:szCs w:val="24"/>
        </w:rPr>
        <w:t>, Inflamación</w:t>
      </w:r>
    </w:p>
    <w:p w14:paraId="114FBCAE" w14:textId="51D9BBB6" w:rsidR="00307C42" w:rsidRDefault="00307C42" w:rsidP="00CD098B">
      <w:pPr>
        <w:tabs>
          <w:tab w:val="left" w:pos="2355"/>
        </w:tabs>
        <w:spacing w:line="360" w:lineRule="auto"/>
        <w:rPr>
          <w:rFonts w:ascii="Times New Roman" w:hAnsi="Times New Roman" w:cs="Times New Roman"/>
          <w:sz w:val="24"/>
          <w:szCs w:val="24"/>
        </w:rPr>
      </w:pPr>
    </w:p>
    <w:p w14:paraId="29031DF2" w14:textId="77A084CF" w:rsidR="00307C42" w:rsidRDefault="00307C42" w:rsidP="00CD098B">
      <w:pPr>
        <w:tabs>
          <w:tab w:val="left" w:pos="2355"/>
        </w:tabs>
        <w:spacing w:line="360" w:lineRule="auto"/>
        <w:rPr>
          <w:rFonts w:ascii="Times New Roman" w:hAnsi="Times New Roman" w:cs="Times New Roman"/>
          <w:sz w:val="24"/>
          <w:szCs w:val="24"/>
        </w:rPr>
      </w:pPr>
    </w:p>
    <w:p w14:paraId="6413E65E" w14:textId="6A799703" w:rsidR="00307C42" w:rsidRDefault="00307C42" w:rsidP="00CD098B">
      <w:pPr>
        <w:tabs>
          <w:tab w:val="left" w:pos="2355"/>
        </w:tabs>
        <w:spacing w:line="360" w:lineRule="auto"/>
        <w:rPr>
          <w:rFonts w:ascii="Times New Roman" w:hAnsi="Times New Roman" w:cs="Times New Roman"/>
          <w:sz w:val="24"/>
          <w:szCs w:val="24"/>
        </w:rPr>
      </w:pPr>
    </w:p>
    <w:p w14:paraId="55A33963" w14:textId="71DD68FF" w:rsidR="00307C42" w:rsidRDefault="00307C42" w:rsidP="00CD098B">
      <w:pPr>
        <w:tabs>
          <w:tab w:val="left" w:pos="2355"/>
        </w:tabs>
        <w:spacing w:line="360" w:lineRule="auto"/>
        <w:rPr>
          <w:rFonts w:ascii="Times New Roman" w:hAnsi="Times New Roman" w:cs="Times New Roman"/>
          <w:sz w:val="24"/>
          <w:szCs w:val="24"/>
        </w:rPr>
      </w:pPr>
    </w:p>
    <w:p w14:paraId="5611FD44" w14:textId="77777777" w:rsidR="00307C42" w:rsidRPr="00CD098B" w:rsidRDefault="00307C42" w:rsidP="00CD098B">
      <w:pPr>
        <w:tabs>
          <w:tab w:val="left" w:pos="2355"/>
        </w:tabs>
        <w:spacing w:line="360" w:lineRule="auto"/>
        <w:rPr>
          <w:rFonts w:ascii="Times New Roman" w:hAnsi="Times New Roman" w:cs="Times New Roman"/>
          <w:sz w:val="24"/>
          <w:szCs w:val="24"/>
        </w:rPr>
      </w:pPr>
    </w:p>
    <w:p w14:paraId="24128BF1" w14:textId="77777777" w:rsidR="004A2C20" w:rsidRPr="002672C7" w:rsidRDefault="004A2C20" w:rsidP="004A2C20">
      <w:pPr>
        <w:tabs>
          <w:tab w:val="left" w:pos="2355"/>
        </w:tabs>
        <w:spacing w:line="360" w:lineRule="auto"/>
        <w:jc w:val="center"/>
        <w:rPr>
          <w:rFonts w:ascii="Times New Roman" w:hAnsi="Times New Roman" w:cs="Times New Roman"/>
          <w:b/>
          <w:bCs/>
          <w:sz w:val="28"/>
          <w:szCs w:val="28"/>
        </w:rPr>
      </w:pPr>
      <w:r w:rsidRPr="002672C7">
        <w:rPr>
          <w:rFonts w:ascii="Times New Roman" w:hAnsi="Times New Roman" w:cs="Times New Roman"/>
          <w:b/>
          <w:bCs/>
          <w:sz w:val="28"/>
          <w:szCs w:val="28"/>
        </w:rPr>
        <w:lastRenderedPageBreak/>
        <w:t>Detection of the polymorphism -174 G&gt;C of the IL-6 gene in patients with periodontitis</w:t>
      </w:r>
    </w:p>
    <w:p w14:paraId="49A461E8" w14:textId="7D1830BC" w:rsidR="000F6E6E" w:rsidRPr="002672C7" w:rsidRDefault="000F6E6E" w:rsidP="002672C7">
      <w:pPr>
        <w:tabs>
          <w:tab w:val="left" w:pos="2355"/>
        </w:tabs>
        <w:spacing w:line="360" w:lineRule="auto"/>
        <w:jc w:val="both"/>
        <w:rPr>
          <w:rFonts w:ascii="Times New Roman" w:hAnsi="Times New Roman" w:cs="Times New Roman"/>
          <w:sz w:val="24"/>
          <w:szCs w:val="24"/>
        </w:rPr>
      </w:pPr>
      <w:r w:rsidRPr="002672C7">
        <w:rPr>
          <w:rFonts w:ascii="Times New Roman" w:hAnsi="Times New Roman" w:cs="Times New Roman"/>
          <w:sz w:val="24"/>
          <w:szCs w:val="24"/>
        </w:rPr>
        <w:t>ABSTRACT</w:t>
      </w:r>
    </w:p>
    <w:p w14:paraId="340BF172" w14:textId="77777777" w:rsidR="002672C7" w:rsidRPr="002672C7" w:rsidRDefault="002672C7" w:rsidP="002672C7">
      <w:pPr>
        <w:tabs>
          <w:tab w:val="left" w:pos="2355"/>
        </w:tabs>
        <w:spacing w:line="360" w:lineRule="auto"/>
        <w:jc w:val="both"/>
        <w:rPr>
          <w:rFonts w:ascii="Times New Roman" w:hAnsi="Times New Roman" w:cs="Times New Roman"/>
          <w:sz w:val="24"/>
          <w:szCs w:val="24"/>
        </w:rPr>
      </w:pPr>
      <w:r w:rsidRPr="002672C7">
        <w:rPr>
          <w:rFonts w:ascii="Times New Roman" w:hAnsi="Times New Roman" w:cs="Times New Roman"/>
          <w:b/>
          <w:bCs/>
          <w:sz w:val="24"/>
          <w:szCs w:val="24"/>
        </w:rPr>
        <w:t>Background.</w:t>
      </w:r>
      <w:r w:rsidRPr="002672C7">
        <w:rPr>
          <w:rFonts w:ascii="Times New Roman" w:hAnsi="Times New Roman" w:cs="Times New Roman"/>
          <w:sz w:val="24"/>
          <w:szCs w:val="24"/>
        </w:rPr>
        <w:t xml:space="preserve"> Among the risk factors for periodontitis are described the genetic ones, being interleukin 6 (IL-6) a cytokine involved in the inflammatory process, and periodontal destruction. The polymorphisms in the IL-6 gene may explain the risk of suffering the disease in certain populations. </w:t>
      </w:r>
    </w:p>
    <w:p w14:paraId="493A70A4" w14:textId="77777777" w:rsidR="002672C7" w:rsidRPr="002672C7" w:rsidRDefault="002672C7" w:rsidP="002672C7">
      <w:pPr>
        <w:tabs>
          <w:tab w:val="left" w:pos="2355"/>
        </w:tabs>
        <w:spacing w:line="360" w:lineRule="auto"/>
        <w:jc w:val="both"/>
        <w:rPr>
          <w:rFonts w:ascii="Times New Roman" w:hAnsi="Times New Roman" w:cs="Times New Roman"/>
          <w:sz w:val="24"/>
          <w:szCs w:val="24"/>
        </w:rPr>
      </w:pPr>
      <w:r w:rsidRPr="002672C7">
        <w:rPr>
          <w:rFonts w:ascii="Times New Roman" w:hAnsi="Times New Roman" w:cs="Times New Roman"/>
          <w:b/>
          <w:bCs/>
          <w:sz w:val="24"/>
          <w:szCs w:val="24"/>
        </w:rPr>
        <w:t>Objective.</w:t>
      </w:r>
      <w:r w:rsidRPr="002672C7">
        <w:rPr>
          <w:rFonts w:ascii="Times New Roman" w:hAnsi="Times New Roman" w:cs="Times New Roman"/>
          <w:sz w:val="24"/>
          <w:szCs w:val="24"/>
        </w:rPr>
        <w:t xml:space="preserve"> To determine the association of polymorphism g.-174G&gt;C of the IL-6 gene with periodontitis. </w:t>
      </w:r>
    </w:p>
    <w:p w14:paraId="62000F54" w14:textId="77777777" w:rsidR="002672C7" w:rsidRPr="002672C7" w:rsidRDefault="002672C7" w:rsidP="002672C7">
      <w:pPr>
        <w:tabs>
          <w:tab w:val="left" w:pos="2355"/>
        </w:tabs>
        <w:spacing w:line="360" w:lineRule="auto"/>
        <w:jc w:val="both"/>
        <w:rPr>
          <w:rFonts w:ascii="Times New Roman" w:hAnsi="Times New Roman" w:cs="Times New Roman"/>
          <w:sz w:val="24"/>
          <w:szCs w:val="24"/>
        </w:rPr>
      </w:pPr>
      <w:r w:rsidRPr="002672C7">
        <w:rPr>
          <w:rFonts w:ascii="Times New Roman" w:hAnsi="Times New Roman" w:cs="Times New Roman"/>
          <w:b/>
          <w:bCs/>
          <w:sz w:val="24"/>
          <w:szCs w:val="24"/>
        </w:rPr>
        <w:t>Material and methods.</w:t>
      </w:r>
      <w:r w:rsidRPr="002672C7">
        <w:rPr>
          <w:rFonts w:ascii="Times New Roman" w:hAnsi="Times New Roman" w:cs="Times New Roman"/>
          <w:sz w:val="24"/>
          <w:szCs w:val="24"/>
        </w:rPr>
        <w:t xml:space="preserve"> A cross-sectional and prospective descriptive study of cases and controls </w:t>
      </w:r>
      <w:proofErr w:type="gramStart"/>
      <w:r w:rsidRPr="002672C7">
        <w:rPr>
          <w:rFonts w:ascii="Times New Roman" w:hAnsi="Times New Roman" w:cs="Times New Roman"/>
          <w:sz w:val="24"/>
          <w:szCs w:val="24"/>
        </w:rPr>
        <w:t>The</w:t>
      </w:r>
      <w:proofErr w:type="gramEnd"/>
      <w:r w:rsidRPr="002672C7">
        <w:rPr>
          <w:rFonts w:ascii="Times New Roman" w:hAnsi="Times New Roman" w:cs="Times New Roman"/>
          <w:sz w:val="24"/>
          <w:szCs w:val="24"/>
        </w:rPr>
        <w:t xml:space="preserve"> genotypic and allelic frequencies of g.-174G&gt;C were analyzed in 52 cases (a group of cases) with periodontitis and 50 controls (control group), by means of the quantitative PCR technique. It was determined the association of polymorphism with the risk for periodontitis, through univariate analysis. The group of cases was compared with the control group. </w:t>
      </w:r>
    </w:p>
    <w:p w14:paraId="3758FBDB" w14:textId="77777777" w:rsidR="002672C7" w:rsidRPr="002672C7" w:rsidRDefault="002672C7" w:rsidP="002672C7">
      <w:pPr>
        <w:tabs>
          <w:tab w:val="left" w:pos="2355"/>
        </w:tabs>
        <w:spacing w:line="360" w:lineRule="auto"/>
        <w:jc w:val="both"/>
        <w:rPr>
          <w:rFonts w:ascii="Times New Roman" w:hAnsi="Times New Roman" w:cs="Times New Roman"/>
          <w:sz w:val="24"/>
          <w:szCs w:val="24"/>
        </w:rPr>
      </w:pPr>
      <w:r w:rsidRPr="002672C7">
        <w:rPr>
          <w:rFonts w:ascii="Times New Roman" w:hAnsi="Times New Roman" w:cs="Times New Roman"/>
          <w:b/>
          <w:bCs/>
          <w:sz w:val="24"/>
          <w:szCs w:val="24"/>
        </w:rPr>
        <w:t>Results.</w:t>
      </w:r>
      <w:r w:rsidRPr="002672C7">
        <w:rPr>
          <w:rFonts w:ascii="Times New Roman" w:hAnsi="Times New Roman" w:cs="Times New Roman"/>
          <w:sz w:val="24"/>
          <w:szCs w:val="24"/>
        </w:rPr>
        <w:t xml:space="preserve"> The wild homozygous genotype GG was the most prevalent (90.4%) in the cases with respect to the controls (78%), as well as the allele G (95.2% and 88%, respectively. The mutated homozygous genotype CC was observed diminished in the controls and absent in the cases. The analysis did not show any association of the g.-174 G/C polymorphism with periodontitis</w:t>
      </w:r>
    </w:p>
    <w:p w14:paraId="0E968FA0" w14:textId="77777777" w:rsidR="002672C7" w:rsidRDefault="002672C7" w:rsidP="002672C7">
      <w:pPr>
        <w:tabs>
          <w:tab w:val="left" w:pos="2355"/>
        </w:tabs>
        <w:spacing w:line="360" w:lineRule="auto"/>
        <w:jc w:val="both"/>
        <w:rPr>
          <w:rFonts w:ascii="Times New Roman" w:hAnsi="Times New Roman" w:cs="Times New Roman"/>
          <w:sz w:val="24"/>
          <w:szCs w:val="24"/>
        </w:rPr>
      </w:pPr>
      <w:r w:rsidRPr="002672C7">
        <w:rPr>
          <w:rFonts w:ascii="Times New Roman" w:hAnsi="Times New Roman" w:cs="Times New Roman"/>
          <w:b/>
          <w:bCs/>
          <w:sz w:val="24"/>
          <w:szCs w:val="24"/>
        </w:rPr>
        <w:t>Conclusion.</w:t>
      </w:r>
      <w:r w:rsidRPr="002672C7">
        <w:rPr>
          <w:rFonts w:ascii="Times New Roman" w:hAnsi="Times New Roman" w:cs="Times New Roman"/>
          <w:sz w:val="24"/>
          <w:szCs w:val="24"/>
        </w:rPr>
        <w:t xml:space="preserve"> No association was observed between g.-174 G/C polymorphism and periodontitis. </w:t>
      </w:r>
    </w:p>
    <w:p w14:paraId="0A9848C1" w14:textId="77777777" w:rsidR="002672C7" w:rsidRDefault="002672C7" w:rsidP="002672C7">
      <w:pPr>
        <w:tabs>
          <w:tab w:val="left" w:pos="2355"/>
        </w:tabs>
        <w:spacing w:line="360" w:lineRule="auto"/>
        <w:rPr>
          <w:rFonts w:ascii="Times New Roman" w:hAnsi="Times New Roman" w:cs="Times New Roman"/>
          <w:sz w:val="24"/>
          <w:szCs w:val="24"/>
        </w:rPr>
      </w:pPr>
    </w:p>
    <w:p w14:paraId="3B8F58D1" w14:textId="290A48D1" w:rsidR="00295AA3" w:rsidRDefault="000F6E6E" w:rsidP="002672C7">
      <w:pPr>
        <w:tabs>
          <w:tab w:val="left" w:pos="2355"/>
        </w:tabs>
        <w:spacing w:line="360" w:lineRule="auto"/>
        <w:rPr>
          <w:rFonts w:ascii="Times New Roman" w:hAnsi="Times New Roman" w:cs="Times New Roman"/>
          <w:sz w:val="24"/>
          <w:szCs w:val="24"/>
        </w:rPr>
      </w:pPr>
      <w:r w:rsidRPr="002672C7">
        <w:rPr>
          <w:rFonts w:ascii="Times New Roman" w:hAnsi="Times New Roman" w:cs="Times New Roman"/>
          <w:sz w:val="24"/>
          <w:szCs w:val="24"/>
        </w:rPr>
        <w:t>Key words</w:t>
      </w:r>
      <w:bookmarkStart w:id="6" w:name="_Hlk42599005"/>
      <w:r w:rsidR="002672C7">
        <w:rPr>
          <w:rFonts w:ascii="Times New Roman" w:hAnsi="Times New Roman" w:cs="Times New Roman"/>
          <w:sz w:val="24"/>
          <w:szCs w:val="24"/>
        </w:rPr>
        <w:br/>
      </w:r>
      <w:r w:rsidR="00295AA3" w:rsidRPr="00516934">
        <w:rPr>
          <w:rFonts w:ascii="Times New Roman" w:hAnsi="Times New Roman" w:cs="Times New Roman"/>
          <w:sz w:val="24"/>
          <w:szCs w:val="24"/>
        </w:rPr>
        <w:t xml:space="preserve">Periodontitis, </w:t>
      </w:r>
      <w:r w:rsidR="00295AA3" w:rsidRPr="00D257CD">
        <w:rPr>
          <w:rFonts w:ascii="Times New Roman" w:hAnsi="Times New Roman" w:cs="Times New Roman"/>
          <w:i/>
          <w:iCs/>
          <w:sz w:val="24"/>
          <w:szCs w:val="24"/>
        </w:rPr>
        <w:t>IL-6</w:t>
      </w:r>
      <w:r w:rsidR="00295AA3" w:rsidRPr="00295AA3">
        <w:rPr>
          <w:rFonts w:ascii="Times New Roman" w:hAnsi="Times New Roman" w:cs="Times New Roman"/>
          <w:sz w:val="24"/>
          <w:szCs w:val="24"/>
        </w:rPr>
        <w:t xml:space="preserve"> </w:t>
      </w:r>
      <w:r w:rsidR="00295AA3">
        <w:rPr>
          <w:rFonts w:ascii="Times New Roman" w:hAnsi="Times New Roman" w:cs="Times New Roman"/>
          <w:sz w:val="24"/>
          <w:szCs w:val="24"/>
        </w:rPr>
        <w:t>gene</w:t>
      </w:r>
      <w:r w:rsidR="00295AA3" w:rsidRPr="00516934">
        <w:rPr>
          <w:rFonts w:ascii="Times New Roman" w:hAnsi="Times New Roman" w:cs="Times New Roman"/>
          <w:sz w:val="24"/>
          <w:szCs w:val="24"/>
        </w:rPr>
        <w:t xml:space="preserve">, </w:t>
      </w:r>
      <w:r w:rsidR="00295AA3">
        <w:rPr>
          <w:rFonts w:ascii="Times New Roman" w:hAnsi="Times New Roman" w:cs="Times New Roman"/>
          <w:sz w:val="24"/>
          <w:szCs w:val="24"/>
        </w:rPr>
        <w:t>Polymorphism g.-174 G/C, Inflamation</w:t>
      </w:r>
    </w:p>
    <w:p w14:paraId="08D8C9C1" w14:textId="77777777" w:rsidR="000F6E6E" w:rsidRDefault="000F6E6E">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bookmarkEnd w:id="0"/>
    <w:bookmarkEnd w:id="6"/>
    <w:p w14:paraId="226E07A4" w14:textId="2AE44547" w:rsidR="00F31442" w:rsidRPr="00987AB4" w:rsidRDefault="00987AB4" w:rsidP="004A2C20">
      <w:pPr>
        <w:spacing w:line="360" w:lineRule="auto"/>
        <w:jc w:val="both"/>
        <w:rPr>
          <w:rFonts w:ascii="Times New Roman" w:hAnsi="Times New Roman" w:cs="Times New Roman"/>
          <w:b/>
          <w:sz w:val="24"/>
          <w:szCs w:val="24"/>
        </w:rPr>
      </w:pPr>
      <w:r w:rsidRPr="00987AB4">
        <w:rPr>
          <w:rFonts w:ascii="Times New Roman" w:hAnsi="Times New Roman" w:cs="Times New Roman"/>
          <w:b/>
          <w:sz w:val="24"/>
          <w:szCs w:val="24"/>
        </w:rPr>
        <w:lastRenderedPageBreak/>
        <w:t>INTRODUCCIÓN</w:t>
      </w:r>
    </w:p>
    <w:p w14:paraId="00B186B9" w14:textId="22A9F276" w:rsidR="00F31442" w:rsidRPr="00F705AB" w:rsidRDefault="00BA0F5B" w:rsidP="004A2C20">
      <w:pPr>
        <w:tabs>
          <w:tab w:val="left" w:pos="2355"/>
        </w:tabs>
        <w:spacing w:line="360" w:lineRule="auto"/>
        <w:jc w:val="both"/>
        <w:rPr>
          <w:rFonts w:ascii="Times New Roman" w:hAnsi="Times New Roman" w:cs="Times New Roman"/>
          <w:sz w:val="24"/>
          <w:szCs w:val="24"/>
        </w:rPr>
      </w:pPr>
      <w:r w:rsidRPr="00D317E7">
        <w:rPr>
          <w:rFonts w:ascii="Times New Roman" w:hAnsi="Times New Roman" w:cs="Times New Roman"/>
          <w:sz w:val="24"/>
          <w:szCs w:val="24"/>
        </w:rPr>
        <w:t>La enfermedad periodontal es una enfermedad crónico-inflamatoria causada por bacterias pat</w:t>
      </w:r>
      <w:r w:rsidR="00E7190E" w:rsidRPr="00D317E7">
        <w:rPr>
          <w:rFonts w:ascii="Times New Roman" w:hAnsi="Times New Roman" w:cs="Times New Roman"/>
          <w:sz w:val="24"/>
          <w:szCs w:val="24"/>
        </w:rPr>
        <w:t>ó</w:t>
      </w:r>
      <w:r w:rsidRPr="00D317E7">
        <w:rPr>
          <w:rFonts w:ascii="Times New Roman" w:hAnsi="Times New Roman" w:cs="Times New Roman"/>
          <w:sz w:val="24"/>
          <w:szCs w:val="24"/>
        </w:rPr>
        <w:t xml:space="preserve">genas específicas que </w:t>
      </w:r>
      <w:r w:rsidR="002E15EB">
        <w:rPr>
          <w:rFonts w:ascii="Times New Roman" w:hAnsi="Times New Roman" w:cs="Times New Roman"/>
          <w:sz w:val="24"/>
          <w:szCs w:val="24"/>
        </w:rPr>
        <w:t xml:space="preserve">afecta </w:t>
      </w:r>
      <w:r w:rsidRPr="00D317E7">
        <w:rPr>
          <w:rFonts w:ascii="Times New Roman" w:hAnsi="Times New Roman" w:cs="Times New Roman"/>
          <w:sz w:val="24"/>
          <w:szCs w:val="24"/>
        </w:rPr>
        <w:t xml:space="preserve">los tejidos periodontales </w:t>
      </w:r>
      <w:r w:rsidRPr="002E15EB">
        <w:rPr>
          <w:rFonts w:ascii="Times New Roman" w:hAnsi="Times New Roman" w:cs="Times New Roman"/>
          <w:sz w:val="24"/>
          <w:szCs w:val="24"/>
        </w:rPr>
        <w:t>y comprometen</w:t>
      </w:r>
      <w:r w:rsidRPr="00D317E7">
        <w:rPr>
          <w:rFonts w:ascii="Times New Roman" w:hAnsi="Times New Roman" w:cs="Times New Roman"/>
          <w:sz w:val="24"/>
          <w:szCs w:val="24"/>
        </w:rPr>
        <w:t xml:space="preserve"> la estabilidad de los dientes.</w:t>
      </w:r>
      <w:r>
        <w:rPr>
          <w:rFonts w:ascii="Times New Roman" w:hAnsi="Times New Roman" w:cs="Times New Roman"/>
          <w:sz w:val="24"/>
          <w:szCs w:val="24"/>
        </w:rPr>
        <w:t xml:space="preserve"> </w:t>
      </w:r>
      <w:r w:rsidR="002E15EB">
        <w:rPr>
          <w:rFonts w:ascii="Times New Roman" w:hAnsi="Times New Roman" w:cs="Times New Roman"/>
          <w:sz w:val="24"/>
          <w:szCs w:val="24"/>
        </w:rPr>
        <w:t>Las bacterias</w:t>
      </w:r>
      <w:r w:rsidR="00F31442" w:rsidRPr="00F705AB">
        <w:rPr>
          <w:rFonts w:ascii="Times New Roman" w:hAnsi="Times New Roman" w:cs="Times New Roman"/>
          <w:sz w:val="24"/>
          <w:szCs w:val="24"/>
        </w:rPr>
        <w:t xml:space="preserve"> </w:t>
      </w:r>
      <w:r w:rsidR="001B7916">
        <w:rPr>
          <w:rFonts w:ascii="Times New Roman" w:hAnsi="Times New Roman" w:cs="Times New Roman"/>
          <w:sz w:val="24"/>
          <w:szCs w:val="24"/>
        </w:rPr>
        <w:t xml:space="preserve">juegan un papel importante </w:t>
      </w:r>
      <w:r w:rsidR="00F31442" w:rsidRPr="00F705AB">
        <w:rPr>
          <w:rFonts w:ascii="Times New Roman" w:hAnsi="Times New Roman" w:cs="Times New Roman"/>
          <w:sz w:val="24"/>
          <w:szCs w:val="24"/>
        </w:rPr>
        <w:t>en el desarrollo de la enfermedad periodontal</w:t>
      </w:r>
      <w:r w:rsidR="00D317E7">
        <w:rPr>
          <w:rFonts w:ascii="Times New Roman" w:hAnsi="Times New Roman" w:cs="Times New Roman"/>
          <w:sz w:val="24"/>
          <w:szCs w:val="24"/>
        </w:rPr>
        <w:t>;</w:t>
      </w:r>
      <w:r w:rsidR="00F31442" w:rsidRPr="00F705AB">
        <w:rPr>
          <w:rFonts w:ascii="Times New Roman" w:hAnsi="Times New Roman" w:cs="Times New Roman"/>
          <w:sz w:val="24"/>
          <w:szCs w:val="24"/>
        </w:rPr>
        <w:t xml:space="preserve"> sin </w:t>
      </w:r>
      <w:r w:rsidR="00D317E7" w:rsidRPr="00F705AB">
        <w:rPr>
          <w:rFonts w:ascii="Times New Roman" w:hAnsi="Times New Roman" w:cs="Times New Roman"/>
          <w:sz w:val="24"/>
          <w:szCs w:val="24"/>
        </w:rPr>
        <w:t>embargo,</w:t>
      </w:r>
      <w:r w:rsidR="00F31442" w:rsidRPr="00F705AB">
        <w:rPr>
          <w:rFonts w:ascii="Times New Roman" w:hAnsi="Times New Roman" w:cs="Times New Roman"/>
          <w:sz w:val="24"/>
          <w:szCs w:val="24"/>
        </w:rPr>
        <w:t xml:space="preserve"> existen diversos factores que, en conjunto con ellas, desencadenan los síntomas de las diferentes enfermedades periodontales. Entre estos se encuentran los locales, sistémicos, ambientales y genéticos</w:t>
      </w:r>
      <w:r w:rsidR="00841F94">
        <w:rPr>
          <w:rFonts w:ascii="Times New Roman" w:hAnsi="Times New Roman" w:cs="Times New Roman"/>
          <w:sz w:val="24"/>
          <w:szCs w:val="24"/>
        </w:rPr>
        <w:t xml:space="preserve"> </w:t>
      </w:r>
      <w:r w:rsidR="00841F94">
        <w:rPr>
          <w:rFonts w:ascii="Times New Roman" w:hAnsi="Times New Roman" w:cs="Times New Roman"/>
          <w:sz w:val="24"/>
          <w:szCs w:val="24"/>
        </w:rPr>
        <w:fldChar w:fldCharType="begin" w:fldLock="1"/>
      </w:r>
      <w:r w:rsidR="00F2052F">
        <w:rPr>
          <w:rFonts w:ascii="Times New Roman" w:hAnsi="Times New Roman" w:cs="Times New Roman"/>
          <w:sz w:val="24"/>
          <w:szCs w:val="24"/>
        </w:rPr>
        <w:instrText>ADDIN CSL_CITATION {"citationItems":[{"id":"ITEM-1","itemData":{"author":[{"dropping-particle":"","family":"Peña","given":"S.","non-dropping-particle":"","parse-names":false,"suffix":""},{"dropping-particle":"","family":"Calzado","given":"M.","non-dropping-particle":"","parse-names":false,"suffix":""},{"dropping-particle":"","family":"González","given":"M.","non-dropping-particle":"","parse-names":false,"suffix":""},{"dropping-particle":"","family":"Cordero","given":"S.","non-dropping-particle":"","parse-names":false,"suffix":""},{"dropping-particle":"","family":"Azahares","given":"H.","non-dropping-particle":"","parse-names":false,"suffix":""}],"container-title":"MediSan","id":"ITEM-1","issue":"7","issued":{"date-parts":[["2012"]]},"page":"1137-1148","title":"Patógenos periodontales y sus relaciones con enfermedades sistémicas","type":"article-journal","volume":"16"},"uris":["http://www.mendeley.com/documents/?uuid=d1ea9918-af4a-4f21-a78a-24e3fafe2317"]}],"mendeley":{"formattedCitation":"(1)","plainTextFormattedCitation":"(1)","previouslyFormattedCitation":"(1)"},"properties":{"noteIndex":0},"schema":"https://github.com/citation-style-language/schema/raw/master/csl-citation.json"}</w:instrText>
      </w:r>
      <w:r w:rsidR="00841F94">
        <w:rPr>
          <w:rFonts w:ascii="Times New Roman" w:hAnsi="Times New Roman" w:cs="Times New Roman"/>
          <w:sz w:val="24"/>
          <w:szCs w:val="24"/>
        </w:rPr>
        <w:fldChar w:fldCharType="separate"/>
      </w:r>
      <w:r w:rsidR="00E47F85" w:rsidRPr="00E47F85">
        <w:rPr>
          <w:rFonts w:ascii="Times New Roman" w:hAnsi="Times New Roman" w:cs="Times New Roman"/>
          <w:noProof/>
          <w:sz w:val="24"/>
          <w:szCs w:val="24"/>
        </w:rPr>
        <w:t>(1)</w:t>
      </w:r>
      <w:r w:rsidR="00841F94">
        <w:rPr>
          <w:rFonts w:ascii="Times New Roman" w:hAnsi="Times New Roman" w:cs="Times New Roman"/>
          <w:sz w:val="24"/>
          <w:szCs w:val="24"/>
        </w:rPr>
        <w:fldChar w:fldCharType="end"/>
      </w:r>
      <w:r w:rsidR="00CD098B">
        <w:rPr>
          <w:rFonts w:ascii="Times New Roman" w:hAnsi="Times New Roman" w:cs="Times New Roman"/>
          <w:sz w:val="24"/>
          <w:szCs w:val="24"/>
        </w:rPr>
        <w:t>;</w:t>
      </w:r>
      <w:r w:rsidR="002E15EB">
        <w:rPr>
          <w:rFonts w:ascii="Times New Roman" w:hAnsi="Times New Roman" w:cs="Times New Roman"/>
          <w:sz w:val="24"/>
          <w:szCs w:val="24"/>
        </w:rPr>
        <w:t xml:space="preserve"> </w:t>
      </w:r>
      <w:r w:rsidR="00CD098B">
        <w:rPr>
          <w:rFonts w:ascii="Times New Roman" w:hAnsi="Times New Roman" w:cs="Times New Roman"/>
          <w:sz w:val="24"/>
          <w:szCs w:val="24"/>
        </w:rPr>
        <w:t>e</w:t>
      </w:r>
      <w:r w:rsidR="00F31442" w:rsidRPr="00F705AB">
        <w:rPr>
          <w:rFonts w:ascii="Times New Roman" w:hAnsi="Times New Roman" w:cs="Times New Roman"/>
          <w:sz w:val="24"/>
          <w:szCs w:val="24"/>
        </w:rPr>
        <w:t xml:space="preserve">stos </w:t>
      </w:r>
      <w:r w:rsidR="004F4840">
        <w:rPr>
          <w:rFonts w:ascii="Times New Roman" w:hAnsi="Times New Roman" w:cs="Times New Roman"/>
          <w:sz w:val="24"/>
          <w:szCs w:val="24"/>
        </w:rPr>
        <w:t>ú</w:t>
      </w:r>
      <w:r w:rsidR="00F31442" w:rsidRPr="00F705AB">
        <w:rPr>
          <w:rFonts w:ascii="Times New Roman" w:hAnsi="Times New Roman" w:cs="Times New Roman"/>
          <w:sz w:val="24"/>
          <w:szCs w:val="24"/>
        </w:rPr>
        <w:t>ltimos, pueden actuar como factores de protección o de riesgo en ciertos procesos patológicos,</w:t>
      </w:r>
      <w:r w:rsidR="001B7916">
        <w:rPr>
          <w:rFonts w:ascii="Times New Roman" w:hAnsi="Times New Roman" w:cs="Times New Roman"/>
          <w:sz w:val="24"/>
          <w:szCs w:val="24"/>
        </w:rPr>
        <w:t xml:space="preserve"> tales como </w:t>
      </w:r>
      <w:r w:rsidR="00F31442" w:rsidRPr="00F705AB">
        <w:rPr>
          <w:rFonts w:ascii="Times New Roman" w:hAnsi="Times New Roman" w:cs="Times New Roman"/>
          <w:sz w:val="24"/>
          <w:szCs w:val="24"/>
        </w:rPr>
        <w:t xml:space="preserve">la periodontitis </w:t>
      </w:r>
      <w:r w:rsidR="00841F94">
        <w:rPr>
          <w:rFonts w:ascii="Times New Roman" w:hAnsi="Times New Roman" w:cs="Times New Roman"/>
          <w:sz w:val="24"/>
          <w:szCs w:val="24"/>
        </w:rPr>
        <w:fldChar w:fldCharType="begin" w:fldLock="1"/>
      </w:r>
      <w:r w:rsidR="00F2052F">
        <w:rPr>
          <w:rFonts w:ascii="Times New Roman" w:hAnsi="Times New Roman" w:cs="Times New Roman"/>
          <w:sz w:val="24"/>
          <w:szCs w:val="24"/>
        </w:rPr>
        <w:instrText>ADDIN CSL_CITATION {"citationItems":[{"id":"ITEM-1","itemData":{"ISBN":"10: 970107131X","author":[{"dropping-particle":"","family":"Carranza","given":"F.","non-dropping-particle":"","parse-names":false,"suffix":""},{"dropping-particle":"","family":"Newman","given":"M.","non-dropping-particle":"","parse-names":false,"suffix":""},{"dropping-particle":"","family":"Takei","given":"H.","non-dropping-particle":"","parse-names":false,"suffix":""},{"dropping-particle":"","family":"Klokkevold","given":"P.","non-dropping-particle":"","parse-names":false,"suffix":""}],"edition":"10","id":"ITEM-1","issued":{"date-parts":[["2017"]]},"number-of-pages":"1552","publisher":"McGraw-Hill Interamericana","publisher-place":"México","title":"Periodontología Clínica","type":"book"},"uris":["http://www.mendeley.com/documents/?uuid=803648e0-b641-40d6-8308-6058c59550c0"]}],"mendeley":{"formattedCitation":"(2)","plainTextFormattedCitation":"(2)","previouslyFormattedCitation":"(2)"},"properties":{"noteIndex":0},"schema":"https://github.com/citation-style-language/schema/raw/master/csl-citation.json"}</w:instrText>
      </w:r>
      <w:r w:rsidR="00841F94">
        <w:rPr>
          <w:rFonts w:ascii="Times New Roman" w:hAnsi="Times New Roman" w:cs="Times New Roman"/>
          <w:sz w:val="24"/>
          <w:szCs w:val="24"/>
        </w:rPr>
        <w:fldChar w:fldCharType="separate"/>
      </w:r>
      <w:r w:rsidR="00E47F85" w:rsidRPr="00E47F85">
        <w:rPr>
          <w:rFonts w:ascii="Times New Roman" w:hAnsi="Times New Roman" w:cs="Times New Roman"/>
          <w:noProof/>
          <w:sz w:val="24"/>
          <w:szCs w:val="24"/>
        </w:rPr>
        <w:t>(2)</w:t>
      </w:r>
      <w:r w:rsidR="00841F94">
        <w:rPr>
          <w:rFonts w:ascii="Times New Roman" w:hAnsi="Times New Roman" w:cs="Times New Roman"/>
          <w:sz w:val="24"/>
          <w:szCs w:val="24"/>
        </w:rPr>
        <w:fldChar w:fldCharType="end"/>
      </w:r>
      <w:r w:rsidR="00F31442" w:rsidRPr="00F705AB">
        <w:rPr>
          <w:rFonts w:ascii="Times New Roman" w:hAnsi="Times New Roman" w:cs="Times New Roman"/>
          <w:sz w:val="24"/>
          <w:szCs w:val="24"/>
        </w:rPr>
        <w:t>.</w:t>
      </w:r>
    </w:p>
    <w:p w14:paraId="358A1118" w14:textId="5994AA2D" w:rsidR="00F31442" w:rsidRPr="003B0C9B" w:rsidRDefault="00F31442" w:rsidP="004A2C20">
      <w:pPr>
        <w:tabs>
          <w:tab w:val="left" w:pos="2355"/>
        </w:tabs>
        <w:spacing w:line="360" w:lineRule="auto"/>
        <w:jc w:val="both"/>
        <w:rPr>
          <w:rFonts w:ascii="Times New Roman" w:hAnsi="Times New Roman" w:cs="Times New Roman"/>
          <w:sz w:val="24"/>
          <w:szCs w:val="24"/>
        </w:rPr>
      </w:pPr>
      <w:r w:rsidRPr="0080457D">
        <w:rPr>
          <w:rFonts w:ascii="Times New Roman" w:hAnsi="Times New Roman" w:cs="Times New Roman"/>
          <w:sz w:val="24"/>
          <w:szCs w:val="24"/>
        </w:rPr>
        <w:t xml:space="preserve">La respuesta inflamatoria se caracteriza por una secreción no regulada de mediadores inflamatorios y </w:t>
      </w:r>
      <w:r w:rsidRPr="00F705AB">
        <w:rPr>
          <w:rFonts w:ascii="Times New Roman" w:hAnsi="Times New Roman" w:cs="Times New Roman"/>
          <w:sz w:val="24"/>
          <w:szCs w:val="24"/>
        </w:rPr>
        <w:t>destrucción tisular</w:t>
      </w:r>
      <w:r w:rsidR="00CD098B">
        <w:rPr>
          <w:rFonts w:ascii="Times New Roman" w:hAnsi="Times New Roman" w:cs="Times New Roman"/>
          <w:sz w:val="24"/>
          <w:szCs w:val="24"/>
        </w:rPr>
        <w:t>.</w:t>
      </w:r>
      <w:r w:rsidRPr="00F705AB">
        <w:rPr>
          <w:rFonts w:ascii="Times New Roman" w:hAnsi="Times New Roman" w:cs="Times New Roman"/>
          <w:sz w:val="24"/>
          <w:szCs w:val="24"/>
        </w:rPr>
        <w:t xml:space="preserve"> Los más estudiados son </w:t>
      </w:r>
      <w:r w:rsidR="00CD098B">
        <w:rPr>
          <w:rFonts w:ascii="Times New Roman" w:hAnsi="Times New Roman" w:cs="Times New Roman"/>
          <w:sz w:val="24"/>
          <w:szCs w:val="24"/>
        </w:rPr>
        <w:t xml:space="preserve">citocinas </w:t>
      </w:r>
      <w:r w:rsidR="00CD098B" w:rsidRPr="003B0C9B">
        <w:rPr>
          <w:rFonts w:ascii="Times New Roman" w:hAnsi="Times New Roman" w:cs="Times New Roman"/>
          <w:sz w:val="24"/>
          <w:szCs w:val="24"/>
        </w:rPr>
        <w:t xml:space="preserve">como </w:t>
      </w:r>
      <w:r w:rsidRPr="003B0C9B">
        <w:rPr>
          <w:rFonts w:ascii="Times New Roman" w:hAnsi="Times New Roman" w:cs="Times New Roman"/>
          <w:sz w:val="24"/>
          <w:szCs w:val="24"/>
        </w:rPr>
        <w:t>la interleucina 1</w:t>
      </w:r>
      <w:r w:rsidR="002E15EB" w:rsidRPr="003B0C9B">
        <w:rPr>
          <w:rFonts w:ascii="Times New Roman" w:hAnsi="Times New Roman" w:cs="Times New Roman"/>
          <w:sz w:val="24"/>
          <w:szCs w:val="24"/>
        </w:rPr>
        <w:t>β (IL-1β</w:t>
      </w:r>
      <w:r w:rsidRPr="003B0C9B">
        <w:rPr>
          <w:rFonts w:ascii="Times New Roman" w:hAnsi="Times New Roman" w:cs="Times New Roman"/>
          <w:sz w:val="24"/>
          <w:szCs w:val="24"/>
        </w:rPr>
        <w:t>)</w:t>
      </w:r>
      <w:r w:rsidR="00CD098B" w:rsidRPr="003B0C9B">
        <w:rPr>
          <w:rFonts w:ascii="Times New Roman" w:hAnsi="Times New Roman" w:cs="Times New Roman"/>
          <w:sz w:val="24"/>
          <w:szCs w:val="24"/>
        </w:rPr>
        <w:t xml:space="preserve"> e </w:t>
      </w:r>
      <w:r w:rsidRPr="003B0C9B">
        <w:rPr>
          <w:rFonts w:ascii="Times New Roman" w:hAnsi="Times New Roman" w:cs="Times New Roman"/>
          <w:sz w:val="24"/>
          <w:szCs w:val="24"/>
        </w:rPr>
        <w:t xml:space="preserve">IL-6, </w:t>
      </w:r>
      <w:r w:rsidR="00CD098B" w:rsidRPr="003B0C9B">
        <w:rPr>
          <w:rFonts w:ascii="Times New Roman" w:hAnsi="Times New Roman" w:cs="Times New Roman"/>
          <w:sz w:val="24"/>
          <w:szCs w:val="24"/>
        </w:rPr>
        <w:t xml:space="preserve">la </w:t>
      </w:r>
      <w:r w:rsidRPr="003B0C9B">
        <w:rPr>
          <w:rFonts w:ascii="Times New Roman" w:hAnsi="Times New Roman" w:cs="Times New Roman"/>
          <w:sz w:val="24"/>
          <w:szCs w:val="24"/>
        </w:rPr>
        <w:t xml:space="preserve">prostaglandina E2 (PGE2), </w:t>
      </w:r>
      <w:r w:rsidR="00CD098B" w:rsidRPr="003B0C9B">
        <w:rPr>
          <w:rFonts w:ascii="Times New Roman" w:hAnsi="Times New Roman" w:cs="Times New Roman"/>
          <w:sz w:val="24"/>
          <w:szCs w:val="24"/>
        </w:rPr>
        <w:t xml:space="preserve">el </w:t>
      </w:r>
      <w:r w:rsidRPr="003B0C9B">
        <w:rPr>
          <w:rFonts w:ascii="Times New Roman" w:hAnsi="Times New Roman" w:cs="Times New Roman"/>
          <w:sz w:val="24"/>
          <w:szCs w:val="24"/>
        </w:rPr>
        <w:t>factor</w:t>
      </w:r>
      <w:r w:rsidR="002E15EB" w:rsidRPr="003B0C9B">
        <w:rPr>
          <w:rFonts w:ascii="Times New Roman" w:hAnsi="Times New Roman" w:cs="Times New Roman"/>
          <w:sz w:val="24"/>
          <w:szCs w:val="24"/>
        </w:rPr>
        <w:t xml:space="preserve"> de necrosis tumoral al</w:t>
      </w:r>
      <w:r w:rsidR="00C702C1" w:rsidRPr="003B0C9B">
        <w:rPr>
          <w:rFonts w:ascii="Times New Roman" w:hAnsi="Times New Roman" w:cs="Times New Roman"/>
          <w:sz w:val="24"/>
          <w:szCs w:val="24"/>
        </w:rPr>
        <w:t>fa</w:t>
      </w:r>
      <w:r w:rsidR="002E15EB" w:rsidRPr="003B0C9B">
        <w:rPr>
          <w:rFonts w:ascii="Times New Roman" w:hAnsi="Times New Roman" w:cs="Times New Roman"/>
          <w:sz w:val="24"/>
          <w:szCs w:val="24"/>
        </w:rPr>
        <w:t xml:space="preserve"> (TNF-</w:t>
      </w:r>
      <w:r w:rsidRPr="003B0C9B">
        <w:rPr>
          <w:rFonts w:ascii="Times New Roman" w:hAnsi="Times New Roman" w:cs="Times New Roman"/>
          <w:sz w:val="24"/>
          <w:szCs w:val="24"/>
          <w:lang w:val="es-ES_tradnl"/>
        </w:rPr>
        <w:t>α</w:t>
      </w:r>
      <w:r w:rsidRPr="003B0C9B">
        <w:rPr>
          <w:rFonts w:ascii="Times New Roman" w:hAnsi="Times New Roman" w:cs="Times New Roman"/>
          <w:sz w:val="24"/>
          <w:szCs w:val="24"/>
        </w:rPr>
        <w:t xml:space="preserve">), </w:t>
      </w:r>
      <w:r w:rsidR="00CD098B" w:rsidRPr="003B0C9B">
        <w:rPr>
          <w:rFonts w:ascii="Times New Roman" w:hAnsi="Times New Roman" w:cs="Times New Roman"/>
          <w:sz w:val="24"/>
          <w:szCs w:val="24"/>
        </w:rPr>
        <w:t>el ligando de receptor activador para el factor nuclear κB (</w:t>
      </w:r>
      <w:r w:rsidRPr="003B0C9B">
        <w:rPr>
          <w:rFonts w:ascii="Times New Roman" w:hAnsi="Times New Roman" w:cs="Times New Roman"/>
          <w:sz w:val="24"/>
          <w:szCs w:val="24"/>
        </w:rPr>
        <w:t>RANKL</w:t>
      </w:r>
      <w:r w:rsidR="00CD098B" w:rsidRPr="003B0C9B">
        <w:rPr>
          <w:rFonts w:ascii="Times New Roman" w:hAnsi="Times New Roman" w:cs="Times New Roman"/>
          <w:sz w:val="24"/>
          <w:szCs w:val="24"/>
        </w:rPr>
        <w:t>)</w:t>
      </w:r>
      <w:r w:rsidR="00C702C1" w:rsidRPr="003B0C9B">
        <w:rPr>
          <w:rFonts w:ascii="Times New Roman" w:hAnsi="Times New Roman" w:cs="Times New Roman"/>
          <w:sz w:val="24"/>
          <w:szCs w:val="24"/>
        </w:rPr>
        <w:t>,</w:t>
      </w:r>
      <w:r w:rsidRPr="003B0C9B">
        <w:rPr>
          <w:rFonts w:ascii="Times New Roman" w:hAnsi="Times New Roman" w:cs="Times New Roman"/>
          <w:sz w:val="24"/>
          <w:szCs w:val="24"/>
        </w:rPr>
        <w:t xml:space="preserve"> metaloproteinasas de la matriz (MMP), particularmente MMP-8, MMP-9 y MMP-13, así como</w:t>
      </w:r>
      <w:r w:rsidR="00307C42" w:rsidRPr="003B0C9B">
        <w:rPr>
          <w:rFonts w:ascii="Times New Roman" w:hAnsi="Times New Roman" w:cs="Times New Roman"/>
          <w:sz w:val="24"/>
          <w:szCs w:val="24"/>
        </w:rPr>
        <w:t xml:space="preserve"> citocinas reguladoras de</w:t>
      </w:r>
      <w:r w:rsidRPr="003B0C9B">
        <w:rPr>
          <w:rFonts w:ascii="Times New Roman" w:hAnsi="Times New Roman" w:cs="Times New Roman"/>
          <w:sz w:val="24"/>
          <w:szCs w:val="24"/>
        </w:rPr>
        <w:t xml:space="preserve"> células T </w:t>
      </w:r>
      <w:r w:rsidR="00307C42" w:rsidRPr="003B0C9B">
        <w:rPr>
          <w:rFonts w:ascii="Times New Roman" w:hAnsi="Times New Roman" w:cs="Times New Roman"/>
          <w:sz w:val="24"/>
          <w:szCs w:val="24"/>
        </w:rPr>
        <w:t>como la</w:t>
      </w:r>
      <w:r w:rsidRPr="003B0C9B">
        <w:rPr>
          <w:rFonts w:ascii="Times New Roman" w:hAnsi="Times New Roman" w:cs="Times New Roman"/>
          <w:sz w:val="24"/>
          <w:szCs w:val="24"/>
        </w:rPr>
        <w:t xml:space="preserve"> IL-12, IL-18) y las quimiocinas </w:t>
      </w:r>
      <w:r w:rsidR="00841F94" w:rsidRPr="003B0C9B">
        <w:rPr>
          <w:rFonts w:ascii="Times New Roman" w:hAnsi="Times New Roman" w:cs="Times New Roman"/>
          <w:sz w:val="24"/>
          <w:szCs w:val="24"/>
        </w:rPr>
        <w:fldChar w:fldCharType="begin" w:fldLock="1"/>
      </w:r>
      <w:r w:rsidR="00F2052F">
        <w:rPr>
          <w:rFonts w:ascii="Times New Roman" w:hAnsi="Times New Roman" w:cs="Times New Roman"/>
          <w:sz w:val="24"/>
          <w:szCs w:val="24"/>
        </w:rPr>
        <w:instrText>ADDIN CSL_CITATION {"citationItems":[{"id":"ITEM-1","itemData":{"DOI":"10.1902/jop.2003.74.8.1237","ISSN":"0022-3492","author":[{"dropping-particle":"","family":"Research","given":"Science and therapy committee","non-dropping-particle":"","parse-names":false,"suffix":""}],"container-title":"Journal of Periodontology","id":"ITEM-1","issue":"8","issued":{"date-parts":[["2003","8"]]},"page":"1237-1247","title":"Position Paper: Diagnosis of Periodontal Diseases","type":"article-journal","volume":"74"},"uris":["http://www.mendeley.com/documents/?uuid=d767314b-174f-4b84-a2b3-8580119f62a6"]}],"mendeley":{"formattedCitation":"(3)","plainTextFormattedCitation":"(3)","previouslyFormattedCitation":"(3)"},"properties":{"noteIndex":0},"schema":"https://github.com/citation-style-language/schema/raw/master/csl-citation.json"}</w:instrText>
      </w:r>
      <w:r w:rsidR="00841F94" w:rsidRPr="003B0C9B">
        <w:rPr>
          <w:rFonts w:ascii="Times New Roman" w:hAnsi="Times New Roman" w:cs="Times New Roman"/>
          <w:sz w:val="24"/>
          <w:szCs w:val="24"/>
        </w:rPr>
        <w:fldChar w:fldCharType="separate"/>
      </w:r>
      <w:r w:rsidR="00E47F85" w:rsidRPr="003B0C9B">
        <w:rPr>
          <w:rFonts w:ascii="Times New Roman" w:hAnsi="Times New Roman" w:cs="Times New Roman"/>
          <w:noProof/>
          <w:sz w:val="24"/>
          <w:szCs w:val="24"/>
        </w:rPr>
        <w:t>(3)</w:t>
      </w:r>
      <w:r w:rsidR="00841F94" w:rsidRPr="003B0C9B">
        <w:rPr>
          <w:rFonts w:ascii="Times New Roman" w:hAnsi="Times New Roman" w:cs="Times New Roman"/>
          <w:sz w:val="24"/>
          <w:szCs w:val="24"/>
        </w:rPr>
        <w:fldChar w:fldCharType="end"/>
      </w:r>
      <w:r w:rsidRPr="003B0C9B">
        <w:rPr>
          <w:rFonts w:ascii="Times New Roman" w:hAnsi="Times New Roman" w:cs="Times New Roman"/>
          <w:sz w:val="24"/>
          <w:szCs w:val="24"/>
        </w:rPr>
        <w:t>.</w:t>
      </w:r>
      <w:r w:rsidR="00BA0F5B" w:rsidRPr="003B0C9B">
        <w:rPr>
          <w:rFonts w:ascii="Times New Roman" w:hAnsi="Times New Roman" w:cs="Times New Roman"/>
          <w:sz w:val="24"/>
          <w:szCs w:val="24"/>
        </w:rPr>
        <w:t xml:space="preserve"> </w:t>
      </w:r>
      <w:r w:rsidR="00C702C1" w:rsidRPr="003B0C9B">
        <w:rPr>
          <w:rFonts w:ascii="Times New Roman" w:hAnsi="Times New Roman" w:cs="Times New Roman"/>
          <w:sz w:val="24"/>
          <w:szCs w:val="24"/>
        </w:rPr>
        <w:t>L</w:t>
      </w:r>
      <w:r w:rsidR="00BA0F5B" w:rsidRPr="003B0C9B">
        <w:rPr>
          <w:rFonts w:ascii="Times New Roman" w:hAnsi="Times New Roman" w:cs="Times New Roman"/>
          <w:sz w:val="24"/>
          <w:szCs w:val="24"/>
        </w:rPr>
        <w:t>a IL-6 par</w:t>
      </w:r>
      <w:r w:rsidR="00C702C1" w:rsidRPr="003B0C9B">
        <w:rPr>
          <w:rFonts w:ascii="Times New Roman" w:hAnsi="Times New Roman" w:cs="Times New Roman"/>
          <w:sz w:val="24"/>
          <w:szCs w:val="24"/>
        </w:rPr>
        <w:t>ece</w:t>
      </w:r>
      <w:r w:rsidR="00BA0F5B" w:rsidRPr="003B0C9B">
        <w:rPr>
          <w:rFonts w:ascii="Times New Roman" w:hAnsi="Times New Roman" w:cs="Times New Roman"/>
          <w:sz w:val="24"/>
          <w:szCs w:val="24"/>
        </w:rPr>
        <w:t xml:space="preserve"> inducir </w:t>
      </w:r>
      <w:r w:rsidR="00C702C1" w:rsidRPr="003B0C9B">
        <w:rPr>
          <w:rFonts w:ascii="Times New Roman" w:hAnsi="Times New Roman" w:cs="Times New Roman"/>
          <w:sz w:val="24"/>
          <w:szCs w:val="24"/>
        </w:rPr>
        <w:t xml:space="preserve">la </w:t>
      </w:r>
      <w:r w:rsidR="00BA0F5B" w:rsidRPr="003B0C9B">
        <w:rPr>
          <w:rFonts w:ascii="Times New Roman" w:hAnsi="Times New Roman" w:cs="Times New Roman"/>
          <w:sz w:val="24"/>
          <w:szCs w:val="24"/>
        </w:rPr>
        <w:t>reabsorción ósea, tanto de forma aislada como sinérgicamente con IL-1ß, debid</w:t>
      </w:r>
      <w:r w:rsidR="00C702C1" w:rsidRPr="003B0C9B">
        <w:rPr>
          <w:rFonts w:ascii="Times New Roman" w:hAnsi="Times New Roman" w:cs="Times New Roman"/>
          <w:sz w:val="24"/>
          <w:szCs w:val="24"/>
        </w:rPr>
        <w:t>o</w:t>
      </w:r>
      <w:r w:rsidR="00BA0F5B" w:rsidRPr="003B0C9B">
        <w:rPr>
          <w:rFonts w:ascii="Times New Roman" w:hAnsi="Times New Roman" w:cs="Times New Roman"/>
          <w:sz w:val="24"/>
          <w:szCs w:val="24"/>
        </w:rPr>
        <w:t xml:space="preserve"> a una estimulación y diferenciación </w:t>
      </w:r>
      <w:r w:rsidR="00C702C1" w:rsidRPr="003B0C9B">
        <w:rPr>
          <w:rFonts w:ascii="Times New Roman" w:hAnsi="Times New Roman" w:cs="Times New Roman"/>
          <w:sz w:val="24"/>
          <w:szCs w:val="24"/>
        </w:rPr>
        <w:t xml:space="preserve">sobre </w:t>
      </w:r>
      <w:r w:rsidR="00BA0F5B" w:rsidRPr="003B0C9B">
        <w:rPr>
          <w:rFonts w:ascii="Times New Roman" w:hAnsi="Times New Roman" w:cs="Times New Roman"/>
          <w:sz w:val="24"/>
          <w:szCs w:val="24"/>
        </w:rPr>
        <w:t>los precursores de los osteoclastos</w:t>
      </w:r>
      <w:r w:rsidR="00E7190E" w:rsidRPr="003B0C9B">
        <w:rPr>
          <w:rFonts w:ascii="Times New Roman" w:hAnsi="Times New Roman" w:cs="Times New Roman"/>
          <w:sz w:val="24"/>
          <w:szCs w:val="24"/>
        </w:rPr>
        <w:t xml:space="preserve"> </w:t>
      </w:r>
      <w:r w:rsidR="00841F94" w:rsidRPr="003B0C9B">
        <w:rPr>
          <w:rFonts w:ascii="Times New Roman" w:hAnsi="Times New Roman" w:cs="Times New Roman"/>
          <w:sz w:val="24"/>
          <w:szCs w:val="24"/>
        </w:rPr>
        <w:fldChar w:fldCharType="begin" w:fldLock="1"/>
      </w:r>
      <w:r w:rsidR="00F2052F">
        <w:rPr>
          <w:rFonts w:ascii="Times New Roman" w:hAnsi="Times New Roman" w:cs="Times New Roman"/>
          <w:sz w:val="24"/>
          <w:szCs w:val="24"/>
        </w:rPr>
        <w:instrText>ADDIN CSL_CITATION {"citationItems":[{"id":"ITEM-1","itemData":{"DOI":"10.1111/j.1600-051X.1996.tb01827.x","ISSN":"0303-6979","author":[{"dropping-particle":"","family":"Nieminen","given":"Anja","non-dropping-particle":"","parse-names":false,"suffix":""},{"dropping-particle":"","family":"Asikainen","given":"Sirkka","non-dropping-particle":"","parse-names":false,"suffix":""},{"dropping-particle":"","family":"Torkko","given":"Heini","non-dropping-particle":"","parse-names":false,"suffix":""},{"dropping-particle":"","family":"Kari","given":"Kirsti","non-dropping-particle":"","parse-names":false,"suffix":""},{"dropping-particle":"","family":"Uitto","given":"Veli-Jukka","non-dropping-particle":"","parse-names":false,"suffix":""},{"dropping-particle":"","family":"Saxen","given":"Leena","non-dropping-particle":"","parse-names":false,"suffix":""}],"container-title":"Journal of Clinical Periodontology","id":"ITEM-1","issue":"6","issued":{"date-parts":[["1996","6"]]},"page":"572-581","title":"Value of some laboratory and clinical measurements in the treatment plan for advanced periodontitis","type":"article-journal","volume":"23"},"uris":["http://www.mendeley.com/documents/?uuid=157d6cc6-eeff-4d8a-91b2-9c26fb795afd"]}],"mendeley":{"formattedCitation":"(4)","plainTextFormattedCitation":"(4)","previouslyFormattedCitation":"(4)"},"properties":{"noteIndex":0},"schema":"https://github.com/citation-style-language/schema/raw/master/csl-citation.json"}</w:instrText>
      </w:r>
      <w:r w:rsidR="00841F94" w:rsidRPr="003B0C9B">
        <w:rPr>
          <w:rFonts w:ascii="Times New Roman" w:hAnsi="Times New Roman" w:cs="Times New Roman"/>
          <w:sz w:val="24"/>
          <w:szCs w:val="24"/>
        </w:rPr>
        <w:fldChar w:fldCharType="separate"/>
      </w:r>
      <w:r w:rsidR="00E47F85" w:rsidRPr="003B0C9B">
        <w:rPr>
          <w:rFonts w:ascii="Times New Roman" w:hAnsi="Times New Roman" w:cs="Times New Roman"/>
          <w:noProof/>
          <w:sz w:val="24"/>
          <w:szCs w:val="24"/>
        </w:rPr>
        <w:t>(4)</w:t>
      </w:r>
      <w:r w:rsidR="00841F94" w:rsidRPr="003B0C9B">
        <w:rPr>
          <w:rFonts w:ascii="Times New Roman" w:hAnsi="Times New Roman" w:cs="Times New Roman"/>
          <w:sz w:val="24"/>
          <w:szCs w:val="24"/>
        </w:rPr>
        <w:fldChar w:fldCharType="end"/>
      </w:r>
      <w:r w:rsidR="00BA0F5B" w:rsidRPr="003B0C9B">
        <w:rPr>
          <w:rFonts w:ascii="Times New Roman" w:hAnsi="Times New Roman" w:cs="Times New Roman"/>
          <w:sz w:val="24"/>
          <w:szCs w:val="24"/>
        </w:rPr>
        <w:t xml:space="preserve">. La IL-6 es </w:t>
      </w:r>
      <w:r w:rsidR="000579FB" w:rsidRPr="003B0C9B">
        <w:rPr>
          <w:rFonts w:ascii="Times New Roman" w:hAnsi="Times New Roman" w:cs="Times New Roman"/>
          <w:sz w:val="24"/>
          <w:szCs w:val="24"/>
        </w:rPr>
        <w:t xml:space="preserve">considerada </w:t>
      </w:r>
      <w:r w:rsidR="00BA0F5B" w:rsidRPr="003B0C9B">
        <w:rPr>
          <w:rFonts w:ascii="Times New Roman" w:hAnsi="Times New Roman" w:cs="Times New Roman"/>
          <w:sz w:val="24"/>
          <w:szCs w:val="24"/>
        </w:rPr>
        <w:t xml:space="preserve">como </w:t>
      </w:r>
      <w:r w:rsidR="000579FB" w:rsidRPr="003B0C9B">
        <w:rPr>
          <w:rFonts w:ascii="Times New Roman" w:hAnsi="Times New Roman" w:cs="Times New Roman"/>
          <w:sz w:val="24"/>
          <w:szCs w:val="24"/>
        </w:rPr>
        <w:t xml:space="preserve">una </w:t>
      </w:r>
      <w:r w:rsidR="00BA0F5B" w:rsidRPr="003B0C9B">
        <w:rPr>
          <w:rFonts w:ascii="Times New Roman" w:hAnsi="Times New Roman" w:cs="Times New Roman"/>
          <w:sz w:val="24"/>
          <w:szCs w:val="24"/>
        </w:rPr>
        <w:t>herramienta diagnóstica</w:t>
      </w:r>
      <w:r w:rsidR="000579FB" w:rsidRPr="003B0C9B">
        <w:rPr>
          <w:rFonts w:ascii="Times New Roman" w:hAnsi="Times New Roman" w:cs="Times New Roman"/>
          <w:sz w:val="24"/>
          <w:szCs w:val="24"/>
        </w:rPr>
        <w:t xml:space="preserve"> en el desarrollo de la periodontitis, ya que se ha encontrado en elevadas concentraciones en tejido gingival inflamado.</w:t>
      </w:r>
      <w:r w:rsidR="00BA0F5B" w:rsidRPr="003B0C9B">
        <w:rPr>
          <w:rFonts w:ascii="Times New Roman" w:hAnsi="Times New Roman" w:cs="Times New Roman"/>
          <w:sz w:val="24"/>
          <w:szCs w:val="24"/>
        </w:rPr>
        <w:t xml:space="preserve"> </w:t>
      </w:r>
      <w:r w:rsidR="000579FB" w:rsidRPr="003B0C9B">
        <w:rPr>
          <w:rFonts w:ascii="Times New Roman" w:hAnsi="Times New Roman" w:cs="Times New Roman"/>
          <w:sz w:val="24"/>
          <w:szCs w:val="24"/>
        </w:rPr>
        <w:t>Asi mismo, se ha observado un aumento en la</w:t>
      </w:r>
      <w:r w:rsidR="00BA0F5B" w:rsidRPr="003B0C9B">
        <w:rPr>
          <w:rFonts w:ascii="Times New Roman" w:hAnsi="Times New Roman" w:cs="Times New Roman"/>
          <w:sz w:val="24"/>
          <w:szCs w:val="24"/>
        </w:rPr>
        <w:t xml:space="preserve"> concentración en el fluido gingival crevicular</w:t>
      </w:r>
      <w:r w:rsidR="000579FB" w:rsidRPr="003B0C9B">
        <w:rPr>
          <w:rFonts w:ascii="Times New Roman" w:hAnsi="Times New Roman" w:cs="Times New Roman"/>
          <w:sz w:val="24"/>
          <w:szCs w:val="24"/>
        </w:rPr>
        <w:t xml:space="preserve"> y</w:t>
      </w:r>
      <w:r w:rsidR="00BA0F5B" w:rsidRPr="003B0C9B">
        <w:rPr>
          <w:rFonts w:ascii="Times New Roman" w:hAnsi="Times New Roman" w:cs="Times New Roman"/>
          <w:sz w:val="24"/>
          <w:szCs w:val="24"/>
        </w:rPr>
        <w:t xml:space="preserve"> en sangre periférica </w:t>
      </w:r>
      <w:r w:rsidR="000579FB" w:rsidRPr="003B0C9B">
        <w:rPr>
          <w:rFonts w:ascii="Times New Roman" w:hAnsi="Times New Roman" w:cs="Times New Roman"/>
          <w:sz w:val="24"/>
          <w:szCs w:val="24"/>
        </w:rPr>
        <w:t>en paci</w:t>
      </w:r>
      <w:r w:rsidR="00F2052F">
        <w:rPr>
          <w:rFonts w:ascii="Times New Roman" w:hAnsi="Times New Roman" w:cs="Times New Roman"/>
          <w:sz w:val="24"/>
          <w:szCs w:val="24"/>
        </w:rPr>
        <w:t>e</w:t>
      </w:r>
      <w:r w:rsidR="000579FB" w:rsidRPr="003B0C9B">
        <w:rPr>
          <w:rFonts w:ascii="Times New Roman" w:hAnsi="Times New Roman" w:cs="Times New Roman"/>
          <w:sz w:val="24"/>
          <w:szCs w:val="24"/>
        </w:rPr>
        <w:t>ntes con diagn</w:t>
      </w:r>
      <w:r w:rsidR="00F2052F">
        <w:rPr>
          <w:rFonts w:ascii="Times New Roman" w:hAnsi="Times New Roman" w:cs="Times New Roman"/>
          <w:sz w:val="24"/>
          <w:szCs w:val="24"/>
        </w:rPr>
        <w:t>ó</w:t>
      </w:r>
      <w:r w:rsidR="000579FB" w:rsidRPr="003B0C9B">
        <w:rPr>
          <w:rFonts w:ascii="Times New Roman" w:hAnsi="Times New Roman" w:cs="Times New Roman"/>
          <w:sz w:val="24"/>
          <w:szCs w:val="24"/>
        </w:rPr>
        <w:t>stico de periodontitis</w:t>
      </w:r>
      <w:r w:rsidR="00BA0F5B" w:rsidRPr="003B0C9B">
        <w:rPr>
          <w:rFonts w:ascii="Times New Roman" w:hAnsi="Times New Roman" w:cs="Times New Roman"/>
          <w:sz w:val="24"/>
          <w:szCs w:val="24"/>
        </w:rPr>
        <w:t xml:space="preserve">. </w:t>
      </w:r>
      <w:r w:rsidR="000579FB" w:rsidRPr="003B0C9B">
        <w:rPr>
          <w:rFonts w:ascii="Times New Roman" w:hAnsi="Times New Roman" w:cs="Times New Roman"/>
          <w:sz w:val="24"/>
          <w:szCs w:val="24"/>
        </w:rPr>
        <w:t>De igual forma</w:t>
      </w:r>
      <w:r w:rsidR="00BA0F5B" w:rsidRPr="003B0C9B">
        <w:rPr>
          <w:rFonts w:ascii="Times New Roman" w:hAnsi="Times New Roman" w:cs="Times New Roman"/>
          <w:sz w:val="24"/>
          <w:szCs w:val="24"/>
        </w:rPr>
        <w:t xml:space="preserve"> la IL-6 </w:t>
      </w:r>
      <w:r w:rsidR="000579FB" w:rsidRPr="003B0C9B">
        <w:rPr>
          <w:rFonts w:ascii="Times New Roman" w:hAnsi="Times New Roman" w:cs="Times New Roman"/>
          <w:sz w:val="24"/>
          <w:szCs w:val="24"/>
        </w:rPr>
        <w:t xml:space="preserve">juega un rol determinando en la reabsorción </w:t>
      </w:r>
      <w:r w:rsidR="00094E85" w:rsidRPr="003B0C9B">
        <w:rPr>
          <w:rFonts w:ascii="Times New Roman" w:hAnsi="Times New Roman" w:cs="Times New Roman"/>
          <w:sz w:val="24"/>
          <w:szCs w:val="24"/>
        </w:rPr>
        <w:t>ósea</w:t>
      </w:r>
      <w:r w:rsidR="000579FB" w:rsidRPr="003B0C9B">
        <w:rPr>
          <w:rFonts w:ascii="Times New Roman" w:hAnsi="Times New Roman" w:cs="Times New Roman"/>
          <w:sz w:val="24"/>
          <w:szCs w:val="24"/>
        </w:rPr>
        <w:t xml:space="preserve"> en presencia de inflamación periodontal </w:t>
      </w:r>
      <w:r w:rsidR="00841F94" w:rsidRPr="003B0C9B">
        <w:rPr>
          <w:rFonts w:ascii="Times New Roman" w:hAnsi="Times New Roman" w:cs="Times New Roman"/>
          <w:sz w:val="24"/>
          <w:szCs w:val="24"/>
        </w:rPr>
        <w:fldChar w:fldCharType="begin" w:fldLock="1"/>
      </w:r>
      <w:r w:rsidR="00F2052F">
        <w:rPr>
          <w:rFonts w:ascii="Times New Roman" w:hAnsi="Times New Roman" w:cs="Times New Roman"/>
          <w:sz w:val="24"/>
          <w:szCs w:val="24"/>
        </w:rPr>
        <w:instrText>ADDIN CSL_CITATION {"citationItems":[{"id":"ITEM-1","itemData":{"DOI":"10.1111/j.1600-051X.1995.tb00127.x","ISSN":"03036979","author":[{"dropping-particle":"","family":"Nieminen","given":"Anja","non-dropping-particle":"","parse-names":false,"suffix":""},{"dropping-particle":"","family":"Sirén","given":"Eva","non-dropping-particle":"","parse-names":false,"suffix":""},{"dropping-particle":"","family":"Wolf","given":"Juhani","non-dropping-particle":"","parse-names":false,"suffix":""},{"dropping-particle":"","family":"Asikainen","given":"Sirkka","non-dropping-particle":"","parse-names":false,"suffix":""}],"container-title":"Journal of Clinical Periodontology","id":"ITEM-1","issue":"2","issued":{"date-parts":[["2005","12","13"]]},"page":"153-161","title":"Prognostic criteria for the efficiency of non-surgical periodontal therapy in advanced periodontitis","type":"article-journal","volume":"22"},"uris":["http://www.mendeley.com/documents/?uuid=0bdec814-9d47-4bec-b372-1b410601ef65"]},{"id":"ITEM-2","itemData":{"DOI":"10.1902/annals.1998.3.1.327","ISSN":"1553-0841","author":[{"dropping-particle":"","family":"Kornman","given":"Kenneth S.","non-dropping-particle":"","parse-names":false,"suffix":""},{"dropping-particle":"","family":"Giovine","given":"Francesco S.","non-dropping-particle":"di","parse-names":false,"suffix":""}],"container-title":"Annals of Periodontology","id":"ITEM-2","issue":"1","issued":{"date-parts":[["1998","7"]]},"page":"327-338","title":"Genetic Variations in Cytokine Expression: A Risk Factor for Severity of Adult Periodontitis","type":"article-journal","volume":"3"},"uris":["http://www.mendeley.com/documents/?uuid=5dae053f-18ad-4903-bcb5-6a2f643b266f"]}],"mendeley":{"formattedCitation":"(5,6)","plainTextFormattedCitation":"(5,6)","previouslyFormattedCitation":"(5,6)"},"properties":{"noteIndex":0},"schema":"https://github.com/citation-style-language/schema/raw/master/csl-citation.json"}</w:instrText>
      </w:r>
      <w:r w:rsidR="00841F94" w:rsidRPr="003B0C9B">
        <w:rPr>
          <w:rFonts w:ascii="Times New Roman" w:hAnsi="Times New Roman" w:cs="Times New Roman"/>
          <w:sz w:val="24"/>
          <w:szCs w:val="24"/>
        </w:rPr>
        <w:fldChar w:fldCharType="separate"/>
      </w:r>
      <w:r w:rsidR="00E47F85" w:rsidRPr="003B0C9B">
        <w:rPr>
          <w:rFonts w:ascii="Times New Roman" w:hAnsi="Times New Roman" w:cs="Times New Roman"/>
          <w:noProof/>
          <w:sz w:val="24"/>
          <w:szCs w:val="24"/>
        </w:rPr>
        <w:t>(5,6)</w:t>
      </w:r>
      <w:r w:rsidR="00841F94" w:rsidRPr="003B0C9B">
        <w:rPr>
          <w:rFonts w:ascii="Times New Roman" w:hAnsi="Times New Roman" w:cs="Times New Roman"/>
          <w:sz w:val="24"/>
          <w:szCs w:val="24"/>
        </w:rPr>
        <w:fldChar w:fldCharType="end"/>
      </w:r>
      <w:r w:rsidR="00BA0F5B" w:rsidRPr="003B0C9B">
        <w:rPr>
          <w:rFonts w:ascii="Times New Roman" w:hAnsi="Times New Roman" w:cs="Times New Roman"/>
          <w:sz w:val="24"/>
          <w:szCs w:val="24"/>
        </w:rPr>
        <w:t>.</w:t>
      </w:r>
    </w:p>
    <w:p w14:paraId="0CBE8DCE" w14:textId="46BDAFA7" w:rsidR="00F31442" w:rsidRPr="00F705AB" w:rsidRDefault="00F31442" w:rsidP="004A2C20">
      <w:pPr>
        <w:tabs>
          <w:tab w:val="left" w:pos="2355"/>
        </w:tabs>
        <w:spacing w:line="360" w:lineRule="auto"/>
        <w:jc w:val="both"/>
        <w:rPr>
          <w:rFonts w:ascii="Times New Roman" w:hAnsi="Times New Roman" w:cs="Times New Roman"/>
          <w:sz w:val="24"/>
          <w:szCs w:val="24"/>
        </w:rPr>
      </w:pPr>
      <w:r w:rsidRPr="003B0C9B">
        <w:rPr>
          <w:rFonts w:ascii="Times New Roman" w:hAnsi="Times New Roman" w:cs="Times New Roman"/>
          <w:sz w:val="24"/>
          <w:szCs w:val="24"/>
        </w:rPr>
        <w:t xml:space="preserve">Las variaciones en </w:t>
      </w:r>
      <w:r w:rsidR="00C702C1" w:rsidRPr="003B0C9B">
        <w:rPr>
          <w:rFonts w:ascii="Times New Roman" w:hAnsi="Times New Roman" w:cs="Times New Roman"/>
          <w:sz w:val="24"/>
          <w:szCs w:val="24"/>
        </w:rPr>
        <w:t xml:space="preserve">genes de citocinas </w:t>
      </w:r>
      <w:r w:rsidRPr="003B0C9B">
        <w:rPr>
          <w:rFonts w:ascii="Times New Roman" w:hAnsi="Times New Roman" w:cs="Times New Roman"/>
          <w:sz w:val="24"/>
          <w:szCs w:val="24"/>
        </w:rPr>
        <w:t>son un factor de riesgo para la severidad de la periodontitis</w:t>
      </w:r>
      <w:r w:rsidR="00E7190E" w:rsidRPr="003B0C9B">
        <w:rPr>
          <w:rFonts w:ascii="Times New Roman" w:hAnsi="Times New Roman" w:cs="Times New Roman"/>
          <w:sz w:val="24"/>
          <w:szCs w:val="24"/>
        </w:rPr>
        <w:t xml:space="preserve"> </w:t>
      </w:r>
      <w:r w:rsidR="00841F94" w:rsidRPr="003B0C9B">
        <w:rPr>
          <w:rFonts w:ascii="Times New Roman" w:hAnsi="Times New Roman" w:cs="Times New Roman"/>
          <w:sz w:val="24"/>
          <w:szCs w:val="24"/>
        </w:rPr>
        <w:fldChar w:fldCharType="begin" w:fldLock="1"/>
      </w:r>
      <w:r w:rsidR="00F2052F">
        <w:rPr>
          <w:rFonts w:ascii="Times New Roman" w:hAnsi="Times New Roman" w:cs="Times New Roman"/>
          <w:sz w:val="24"/>
          <w:szCs w:val="24"/>
        </w:rPr>
        <w:instrText>ADDIN CSL_CITATION {"citationItems":[{"id":"ITEM-1","itemData":{"DOI":"10.1002/JPER.17-0721","ISSN":"00223492","author":[{"dropping-particle":"","family":"Papapanou","given":"Panos N.","non-dropping-particle":"","parse-names":false,"suffix":""},{"dropping-particle":"","family":"Sanz","given":"Mariano","non-dropping-particle":"","parse-names":false,"suffix":""},{"dropping-particle":"","family":"Buduneli","given":"Nurcan","non-dropping-particle":"","parse-names":false,"suffix":""},{"dropping-particle":"","family":"Dietrich","given":"Thomas","non-dropping-particle":"","parse-names":false,"suffix":""},{"dropping-particle":"","family":"Feres","given":"Magda","non-dropping-particle":"","parse-names":false,"suffix":""},{"dropping-particle":"","family":"Fine","given":"Daniel H.","non-dropping-particle":"","parse-names":false,"suffix":""},{"dropping-particle":"","family":"Flemmig","given":"Thomas F.","non-dropping-particle":"","parse-names":false,"suffix":""},{"dropping-particle":"","family":"Garcia","given":"Raul","non-dropping-particle":"","parse-names":false,"suffix":""},{"dropping-particle":"V.","family":"Giannobile","given":"William","non-dropping-particle":"","parse-names":false,"suffix":""},{"dropping-particle":"","family":"Graziani","given":"Filippo","non-dropping-particle":"","parse-names":false,"suffix":""},{"dropping-particle":"","family":"Greenwell","given":"Henry","non-dropping-particle":"","parse-names":false,"suffix":""},{"dropping-particle":"","family":"Herrera","given":"David","non-dropping-particle":"","parse-names":false,"suffix":""},{"dropping-particle":"","family":"Kao","given":"Richard T.","non-dropping-particle":"","parse-names":false,"suffix":""},{"dropping-particle":"","family":"Kebschull","given":"Moritz","non-dropping-particle":"","parse-names":false,"suffix":""},{"dropping-particle":"","family":"Kinane","given":"Denis F.","non-dropping-particle":"","parse-names":false,"suffix":""},{"dropping-particle":"","family":"Kirkwood","given":"Keith L.","non-dropping-particle":"","parse-names":false,"suffix":""},{"dropping-particle":"","family":"Kocher","given":"Thomas","non-dropping-particle":"","parse-names":false,"suffix":""},{"dropping-particle":"","family":"Kornman","given":"Kenneth S.","non-dropping-particle":"","parse-names":false,"suffix":""},{"dropping-particle":"","family":"Kumar","given":"Purnima S.","non-dropping-particle":"","parse-names":false,"suffix":""},{"dropping-particle":"","family":"Loos","given":"Bruno G.","non-dropping-particle":"","parse-names":false,"suffix":""},{"dropping-particle":"","family":"Machtei","given":"Eli","non-dropping-particle":"","parse-names":false,"suffix":""},{"dropping-particle":"","family":"Meng","given":"Huanxin","non-dropping-particle":"","parse-names":false,"suffix":""},{"dropping-particle":"","family":"Mombelli","given":"Andrea","non-dropping-particle":"","parse-names":false,"suffix":""},{"dropping-particle":"","family":"Needleman","given":"Ian","non-dropping-particle":"","parse-names":false,"suffix":""},{"dropping-particle":"","family":"Offenbacher","given":"Steven","non-dropping-particle":"","parse-names":false,"suffix":""},{"dropping-particle":"","family":"Seymour","given":"Gregory J.","non-dropping-particle":"","parse-names":false,"suffix":""},{"dropping-particle":"","family":"Teles","given":"Ricardo","non-dropping-particle":"","parse-names":false,"suffix":""},{"dropping-particle":"","family":"Tonetti","given":"Maurizio S.","non-dropping-particle":"","parse-names":false,"suffix":""}],"container-title":"Journal of Periodontology","id":"ITEM-1","issued":{"date-parts":[["2018","6"]]},"page":"S173-S182","title":"Periodontitis: Consensus report of workgroup 2 of the 2017 World Workshop on the Classification of Periodontal and Peri-Implant Diseases and Conditions","type":"article-journal","volume":"89"},"uris":["http://www.mendeley.com/documents/?uuid=346c32d4-2673-4a56-acbc-cb86dab0c713"]}],"mendeley":{"formattedCitation":"(7)","plainTextFormattedCitation":"(7)","previouslyFormattedCitation":"(7)"},"properties":{"noteIndex":0},"schema":"https://github.com/citation-style-language/schema/raw/master/csl-citation.json"}</w:instrText>
      </w:r>
      <w:r w:rsidR="00841F94" w:rsidRPr="003B0C9B">
        <w:rPr>
          <w:rFonts w:ascii="Times New Roman" w:hAnsi="Times New Roman" w:cs="Times New Roman"/>
          <w:sz w:val="24"/>
          <w:szCs w:val="24"/>
        </w:rPr>
        <w:fldChar w:fldCharType="separate"/>
      </w:r>
      <w:r w:rsidR="00E47F85" w:rsidRPr="003B0C9B">
        <w:rPr>
          <w:rFonts w:ascii="Times New Roman" w:hAnsi="Times New Roman" w:cs="Times New Roman"/>
          <w:noProof/>
          <w:sz w:val="24"/>
          <w:szCs w:val="24"/>
        </w:rPr>
        <w:t>(7)</w:t>
      </w:r>
      <w:r w:rsidR="00841F94" w:rsidRPr="003B0C9B">
        <w:rPr>
          <w:rFonts w:ascii="Times New Roman" w:hAnsi="Times New Roman" w:cs="Times New Roman"/>
          <w:sz w:val="24"/>
          <w:szCs w:val="24"/>
        </w:rPr>
        <w:fldChar w:fldCharType="end"/>
      </w:r>
      <w:r w:rsidRPr="003B0C9B">
        <w:rPr>
          <w:rFonts w:ascii="Times New Roman" w:hAnsi="Times New Roman" w:cs="Times New Roman"/>
          <w:sz w:val="24"/>
          <w:szCs w:val="24"/>
        </w:rPr>
        <w:t xml:space="preserve">. </w:t>
      </w:r>
      <w:r w:rsidR="002A783B" w:rsidRPr="003B0C9B">
        <w:rPr>
          <w:rFonts w:ascii="Times New Roman" w:hAnsi="Times New Roman" w:cs="Times New Roman"/>
          <w:sz w:val="24"/>
          <w:szCs w:val="24"/>
        </w:rPr>
        <w:t>Así</w:t>
      </w:r>
      <w:r w:rsidRPr="003B0C9B">
        <w:rPr>
          <w:rFonts w:ascii="Times New Roman" w:hAnsi="Times New Roman" w:cs="Times New Roman"/>
          <w:sz w:val="24"/>
          <w:szCs w:val="24"/>
        </w:rPr>
        <w:t xml:space="preserve"> mismo</w:t>
      </w:r>
      <w:r w:rsidR="004F4840" w:rsidRPr="003B0C9B">
        <w:rPr>
          <w:rFonts w:ascii="Times New Roman" w:hAnsi="Times New Roman" w:cs="Times New Roman"/>
          <w:sz w:val="24"/>
          <w:szCs w:val="24"/>
        </w:rPr>
        <w:t>,</w:t>
      </w:r>
      <w:r w:rsidR="001B7916" w:rsidRPr="003B0C9B">
        <w:rPr>
          <w:rFonts w:ascii="Times New Roman" w:hAnsi="Times New Roman" w:cs="Times New Roman"/>
          <w:sz w:val="24"/>
          <w:szCs w:val="24"/>
        </w:rPr>
        <w:t xml:space="preserve"> </w:t>
      </w:r>
      <w:r w:rsidR="00E7190E" w:rsidRPr="003B0C9B">
        <w:rPr>
          <w:rFonts w:ascii="Times New Roman" w:hAnsi="Times New Roman" w:cs="Times New Roman"/>
          <w:sz w:val="24"/>
          <w:szCs w:val="24"/>
        </w:rPr>
        <w:t xml:space="preserve">aunque </w:t>
      </w:r>
      <w:r w:rsidRPr="003B0C9B">
        <w:rPr>
          <w:rFonts w:ascii="Times New Roman" w:hAnsi="Times New Roman" w:cs="Times New Roman"/>
          <w:sz w:val="24"/>
          <w:szCs w:val="24"/>
        </w:rPr>
        <w:t>la</w:t>
      </w:r>
      <w:r w:rsidR="00C702C1" w:rsidRPr="003B0C9B">
        <w:rPr>
          <w:rFonts w:ascii="Times New Roman" w:hAnsi="Times New Roman" w:cs="Times New Roman"/>
          <w:sz w:val="24"/>
          <w:szCs w:val="24"/>
        </w:rPr>
        <w:t>s</w:t>
      </w:r>
      <w:r w:rsidRPr="003B0C9B">
        <w:rPr>
          <w:rFonts w:ascii="Times New Roman" w:hAnsi="Times New Roman" w:cs="Times New Roman"/>
          <w:sz w:val="24"/>
          <w:szCs w:val="24"/>
        </w:rPr>
        <w:t xml:space="preserve"> bacteria</w:t>
      </w:r>
      <w:r w:rsidR="00C702C1" w:rsidRPr="003B0C9B">
        <w:rPr>
          <w:rFonts w:ascii="Times New Roman" w:hAnsi="Times New Roman" w:cs="Times New Roman"/>
          <w:sz w:val="24"/>
          <w:szCs w:val="24"/>
        </w:rPr>
        <w:t>s</w:t>
      </w:r>
      <w:r w:rsidRPr="003B0C9B">
        <w:rPr>
          <w:rFonts w:ascii="Times New Roman" w:hAnsi="Times New Roman" w:cs="Times New Roman"/>
          <w:sz w:val="24"/>
          <w:szCs w:val="24"/>
        </w:rPr>
        <w:t xml:space="preserve"> </w:t>
      </w:r>
      <w:r w:rsidR="00C702C1" w:rsidRPr="003B0C9B">
        <w:rPr>
          <w:rFonts w:ascii="Times New Roman" w:hAnsi="Times New Roman" w:cs="Times New Roman"/>
          <w:sz w:val="24"/>
          <w:szCs w:val="24"/>
        </w:rPr>
        <w:t>son</w:t>
      </w:r>
      <w:r w:rsidRPr="003B0C9B">
        <w:rPr>
          <w:rFonts w:ascii="Times New Roman" w:hAnsi="Times New Roman" w:cs="Times New Roman"/>
          <w:sz w:val="24"/>
          <w:szCs w:val="24"/>
        </w:rPr>
        <w:t xml:space="preserve"> esencial</w:t>
      </w:r>
      <w:r w:rsidR="00C702C1" w:rsidRPr="003B0C9B">
        <w:rPr>
          <w:rFonts w:ascii="Times New Roman" w:hAnsi="Times New Roman" w:cs="Times New Roman"/>
          <w:sz w:val="24"/>
          <w:szCs w:val="24"/>
        </w:rPr>
        <w:t xml:space="preserve">es </w:t>
      </w:r>
      <w:r w:rsidRPr="003B0C9B">
        <w:rPr>
          <w:rFonts w:ascii="Times New Roman" w:hAnsi="Times New Roman" w:cs="Times New Roman"/>
          <w:sz w:val="24"/>
          <w:szCs w:val="24"/>
        </w:rPr>
        <w:t xml:space="preserve">para </w:t>
      </w:r>
      <w:r w:rsidR="00C702C1" w:rsidRPr="003B0C9B">
        <w:rPr>
          <w:rFonts w:ascii="Times New Roman" w:hAnsi="Times New Roman" w:cs="Times New Roman"/>
          <w:sz w:val="24"/>
          <w:szCs w:val="24"/>
        </w:rPr>
        <w:t xml:space="preserve">el inicio </w:t>
      </w:r>
      <w:r w:rsidRPr="003B0C9B">
        <w:rPr>
          <w:rFonts w:ascii="Times New Roman" w:hAnsi="Times New Roman" w:cs="Times New Roman"/>
          <w:sz w:val="24"/>
          <w:szCs w:val="24"/>
        </w:rPr>
        <w:t>de la periodontitis</w:t>
      </w:r>
      <w:r w:rsidR="00856A4D" w:rsidRPr="003B0C9B">
        <w:rPr>
          <w:rFonts w:ascii="Times New Roman" w:hAnsi="Times New Roman" w:cs="Times New Roman"/>
          <w:sz w:val="24"/>
          <w:szCs w:val="24"/>
        </w:rPr>
        <w:t>,</w:t>
      </w:r>
      <w:r w:rsidRPr="003B0C9B">
        <w:rPr>
          <w:rFonts w:ascii="Times New Roman" w:hAnsi="Times New Roman" w:cs="Times New Roman"/>
          <w:sz w:val="24"/>
          <w:szCs w:val="24"/>
        </w:rPr>
        <w:t xml:space="preserve"> la cantidad y tipos de bacteria no </w:t>
      </w:r>
      <w:r w:rsidR="00856A4D" w:rsidRPr="003B0C9B">
        <w:rPr>
          <w:rFonts w:ascii="Times New Roman" w:hAnsi="Times New Roman" w:cs="Times New Roman"/>
          <w:sz w:val="24"/>
          <w:szCs w:val="24"/>
        </w:rPr>
        <w:t xml:space="preserve">son </w:t>
      </w:r>
      <w:r w:rsidRPr="003B0C9B">
        <w:rPr>
          <w:rFonts w:ascii="Times New Roman" w:hAnsi="Times New Roman" w:cs="Times New Roman"/>
          <w:sz w:val="24"/>
          <w:szCs w:val="24"/>
        </w:rPr>
        <w:t xml:space="preserve">suficientes para dar explicación a las diferencias en cuanto a severidad. </w:t>
      </w:r>
      <w:r w:rsidR="00856A4D" w:rsidRPr="003B0C9B">
        <w:rPr>
          <w:rFonts w:ascii="Times New Roman" w:hAnsi="Times New Roman" w:cs="Times New Roman"/>
          <w:sz w:val="24"/>
          <w:szCs w:val="24"/>
        </w:rPr>
        <w:t xml:space="preserve">Se ha reportado </w:t>
      </w:r>
      <w:r w:rsidRPr="003B0C9B">
        <w:rPr>
          <w:rFonts w:ascii="Times New Roman" w:hAnsi="Times New Roman" w:cs="Times New Roman"/>
          <w:sz w:val="24"/>
          <w:szCs w:val="24"/>
        </w:rPr>
        <w:t>que</w:t>
      </w:r>
      <w:r w:rsidR="00856A4D" w:rsidRPr="003B0C9B">
        <w:rPr>
          <w:rFonts w:ascii="Times New Roman" w:hAnsi="Times New Roman" w:cs="Times New Roman"/>
          <w:sz w:val="24"/>
          <w:szCs w:val="24"/>
        </w:rPr>
        <w:t>,</w:t>
      </w:r>
      <w:r w:rsidRPr="003B0C9B">
        <w:rPr>
          <w:rFonts w:ascii="Times New Roman" w:hAnsi="Times New Roman" w:cs="Times New Roman"/>
          <w:sz w:val="24"/>
          <w:szCs w:val="24"/>
        </w:rPr>
        <w:t xml:space="preserve"> para enfermedades crónicas</w:t>
      </w:r>
      <w:r w:rsidR="00856A4D" w:rsidRPr="003B0C9B">
        <w:rPr>
          <w:rFonts w:ascii="Times New Roman" w:hAnsi="Times New Roman" w:cs="Times New Roman"/>
          <w:sz w:val="24"/>
          <w:szCs w:val="24"/>
        </w:rPr>
        <w:t>,</w:t>
      </w:r>
      <w:r w:rsidRPr="003B0C9B">
        <w:rPr>
          <w:rFonts w:ascii="Times New Roman" w:hAnsi="Times New Roman" w:cs="Times New Roman"/>
          <w:sz w:val="24"/>
          <w:szCs w:val="24"/>
        </w:rPr>
        <w:t xml:space="preserve"> hay factores modificadores que no causan la enfermedad pero algunas veces amplifican algunos mecanismos para hacer más severa la condición c</w:t>
      </w:r>
      <w:r w:rsidR="001B7916" w:rsidRPr="003B0C9B">
        <w:rPr>
          <w:rFonts w:ascii="Times New Roman" w:hAnsi="Times New Roman" w:cs="Times New Roman"/>
          <w:sz w:val="24"/>
          <w:szCs w:val="24"/>
        </w:rPr>
        <w:t>línica</w:t>
      </w:r>
      <w:r w:rsidR="00E7190E" w:rsidRPr="003B0C9B">
        <w:rPr>
          <w:rFonts w:ascii="Times New Roman" w:hAnsi="Times New Roman" w:cs="Times New Roman"/>
          <w:sz w:val="24"/>
          <w:szCs w:val="24"/>
        </w:rPr>
        <w:t xml:space="preserve"> </w:t>
      </w:r>
      <w:r w:rsidR="00841F94" w:rsidRPr="003B0C9B">
        <w:rPr>
          <w:rFonts w:ascii="Times New Roman" w:hAnsi="Times New Roman" w:cs="Times New Roman"/>
          <w:sz w:val="24"/>
          <w:szCs w:val="24"/>
        </w:rPr>
        <w:fldChar w:fldCharType="begin" w:fldLock="1"/>
      </w:r>
      <w:r w:rsidR="00F2052F">
        <w:rPr>
          <w:rFonts w:ascii="Times New Roman" w:hAnsi="Times New Roman" w:cs="Times New Roman"/>
          <w:sz w:val="24"/>
          <w:szCs w:val="24"/>
        </w:rPr>
        <w:instrText>ADDIN CSL_CITATION {"citationItems":[{"id":"ITEM-1","itemData":{"DOI":"10.1111/jre.12397","ISSN":"00223484","author":[{"dropping-particle":"","family":"Nagarajan","given":"R.","non-dropping-particle":"","parse-names":false,"suffix":""},{"dropping-particle":"","family":"Miller","given":"C. S.","non-dropping-particle":"","parse-names":false,"suffix":""},{"dropping-particle":"","family":"Dawson","given":"D.","non-dropping-particle":"","parse-names":false,"suffix":""},{"dropping-particle":"","family":"Al-Sabbagh","given":"M.","non-dropping-particle":"","parse-names":false,"suffix":""},{"dropping-particle":"","family":"Ebersole","given":"J. L.","non-dropping-particle":"","parse-names":false,"suffix":""}],"container-title":"Journal of Periodontal Research","id":"ITEM-1","issue":"3","issued":{"date-parts":[["2017","6"]]},"page":"342-352","title":"Cross-talk between clinical and host-response parameters of periodontitis in smokers","type":"article-journal","volume":"52"},"uris":["http://www.mendeley.com/documents/?uuid=2a006197-073e-48a5-ae13-a3895dfff64f"]}],"mendeley":{"formattedCitation":"(8)","plainTextFormattedCitation":"(8)","previouslyFormattedCitation":"(8)"},"properties":{"noteIndex":0},"schema":"https://github.com/citation-style-language/schema/raw/master/csl-citation.json"}</w:instrText>
      </w:r>
      <w:r w:rsidR="00841F94" w:rsidRPr="003B0C9B">
        <w:rPr>
          <w:rFonts w:ascii="Times New Roman" w:hAnsi="Times New Roman" w:cs="Times New Roman"/>
          <w:sz w:val="24"/>
          <w:szCs w:val="24"/>
        </w:rPr>
        <w:fldChar w:fldCharType="separate"/>
      </w:r>
      <w:r w:rsidR="00E47F85" w:rsidRPr="003B0C9B">
        <w:rPr>
          <w:rFonts w:ascii="Times New Roman" w:hAnsi="Times New Roman" w:cs="Times New Roman"/>
          <w:noProof/>
          <w:sz w:val="24"/>
          <w:szCs w:val="24"/>
        </w:rPr>
        <w:t>(8)</w:t>
      </w:r>
      <w:r w:rsidR="00841F94" w:rsidRPr="003B0C9B">
        <w:rPr>
          <w:rFonts w:ascii="Times New Roman" w:hAnsi="Times New Roman" w:cs="Times New Roman"/>
          <w:sz w:val="24"/>
          <w:szCs w:val="24"/>
        </w:rPr>
        <w:fldChar w:fldCharType="end"/>
      </w:r>
      <w:r w:rsidR="001B7916" w:rsidRPr="003B0C9B">
        <w:rPr>
          <w:rFonts w:ascii="Times New Roman" w:hAnsi="Times New Roman" w:cs="Times New Roman"/>
          <w:sz w:val="24"/>
          <w:szCs w:val="24"/>
        </w:rPr>
        <w:t>.</w:t>
      </w:r>
    </w:p>
    <w:p w14:paraId="7847E549" w14:textId="291F724A" w:rsidR="00F31442" w:rsidRPr="00F705AB" w:rsidRDefault="00F31442" w:rsidP="004A2C20">
      <w:pPr>
        <w:tabs>
          <w:tab w:val="left" w:pos="2355"/>
        </w:tabs>
        <w:spacing w:line="360" w:lineRule="auto"/>
        <w:jc w:val="both"/>
        <w:rPr>
          <w:rFonts w:ascii="Times New Roman" w:hAnsi="Times New Roman" w:cs="Times New Roman"/>
          <w:sz w:val="24"/>
          <w:szCs w:val="24"/>
        </w:rPr>
      </w:pPr>
      <w:r w:rsidRPr="00F705AB">
        <w:rPr>
          <w:rFonts w:ascii="Times New Roman" w:hAnsi="Times New Roman" w:cs="Times New Roman"/>
          <w:sz w:val="24"/>
          <w:szCs w:val="24"/>
        </w:rPr>
        <w:t xml:space="preserve">El gen </w:t>
      </w:r>
      <w:r w:rsidR="0080457D" w:rsidRPr="0080457D">
        <w:rPr>
          <w:rFonts w:ascii="Times New Roman" w:hAnsi="Times New Roman" w:cs="Times New Roman"/>
          <w:i/>
          <w:iCs/>
          <w:sz w:val="24"/>
          <w:szCs w:val="24"/>
        </w:rPr>
        <w:t>IL-6</w:t>
      </w:r>
      <w:r w:rsidR="00065745">
        <w:rPr>
          <w:rFonts w:ascii="Times New Roman" w:hAnsi="Times New Roman" w:cs="Times New Roman"/>
          <w:i/>
          <w:iCs/>
          <w:sz w:val="24"/>
          <w:szCs w:val="24"/>
        </w:rPr>
        <w:t>,</w:t>
      </w:r>
      <w:r w:rsidR="0080457D">
        <w:rPr>
          <w:rFonts w:ascii="Times New Roman" w:hAnsi="Times New Roman" w:cs="Times New Roman"/>
          <w:sz w:val="24"/>
          <w:szCs w:val="24"/>
        </w:rPr>
        <w:t xml:space="preserve"> </w:t>
      </w:r>
      <w:r w:rsidRPr="00F705AB">
        <w:rPr>
          <w:rFonts w:ascii="Times New Roman" w:hAnsi="Times New Roman" w:cs="Times New Roman"/>
          <w:sz w:val="24"/>
          <w:szCs w:val="24"/>
        </w:rPr>
        <w:t>en humanos</w:t>
      </w:r>
      <w:r w:rsidR="0080457D">
        <w:rPr>
          <w:rFonts w:ascii="Times New Roman" w:hAnsi="Times New Roman" w:cs="Times New Roman"/>
          <w:sz w:val="24"/>
          <w:szCs w:val="24"/>
        </w:rPr>
        <w:t>,</w:t>
      </w:r>
      <w:r w:rsidRPr="00F705AB">
        <w:rPr>
          <w:rFonts w:ascii="Times New Roman" w:hAnsi="Times New Roman" w:cs="Times New Roman"/>
          <w:sz w:val="24"/>
          <w:szCs w:val="24"/>
        </w:rPr>
        <w:t xml:space="preserve"> se encuentra situado en el brazo corto del cromosoma 7</w:t>
      </w:r>
      <w:r w:rsidR="00F2052F">
        <w:rPr>
          <w:rFonts w:ascii="Times New Roman" w:hAnsi="Times New Roman" w:cs="Times New Roman"/>
          <w:sz w:val="24"/>
          <w:szCs w:val="24"/>
        </w:rPr>
        <w:t xml:space="preserve"> (7</w:t>
      </w:r>
      <w:r w:rsidR="00F2052F" w:rsidRPr="00F2052F">
        <w:rPr>
          <w:rFonts w:ascii="Times New Roman" w:hAnsi="Times New Roman" w:cs="Times New Roman"/>
          <w:sz w:val="24"/>
          <w:szCs w:val="24"/>
        </w:rPr>
        <w:t>p22</w:t>
      </w:r>
      <w:r w:rsidR="00F2052F">
        <w:rPr>
          <w:rFonts w:ascii="Times New Roman" w:hAnsi="Times New Roman" w:cs="Times New Roman"/>
          <w:sz w:val="24"/>
          <w:szCs w:val="24"/>
        </w:rPr>
        <w:t>)</w:t>
      </w:r>
      <w:r w:rsidRPr="00F705AB">
        <w:rPr>
          <w:rFonts w:ascii="Times New Roman" w:hAnsi="Times New Roman" w:cs="Times New Roman"/>
          <w:color w:val="505050"/>
          <w:sz w:val="24"/>
          <w:szCs w:val="24"/>
        </w:rPr>
        <w:t xml:space="preserve"> </w:t>
      </w:r>
      <w:r w:rsidR="00F2052F">
        <w:rPr>
          <w:rFonts w:ascii="Times New Roman" w:hAnsi="Times New Roman" w:cs="Times New Roman"/>
          <w:color w:val="505050"/>
          <w:sz w:val="24"/>
          <w:szCs w:val="24"/>
        </w:rPr>
        <w:fldChar w:fldCharType="begin" w:fldLock="1"/>
      </w:r>
      <w:r w:rsidR="00F2052F">
        <w:rPr>
          <w:rFonts w:ascii="Times New Roman" w:hAnsi="Times New Roman" w:cs="Times New Roman"/>
          <w:color w:val="505050"/>
          <w:sz w:val="24"/>
          <w:szCs w:val="24"/>
        </w:rPr>
        <w:instrText>ADDIN CSL_CITATION {"citationItems":[{"id":"ITEM-1","itemData":{"URL":"https://www.ncbi.nlm.nih.gov/snp/rs1800795","accessed":{"date-parts":[["2020","9","11"]]},"author":[{"dropping-particle":"","family":"National Library of Medicine","given":"","non-dropping-particle":"","parse-names":false,"suffix":""}],"container-title":"https://www.ncbi.nlm.nih.gov/snp/rs1800795","id":"ITEM-1","issued":{"date-parts":[["2020"]]},"title":"dbSNP","type":"webpage"},"uris":["http://www.mendeley.com/documents/?uuid=00928c15-e5ce-4d0e-b347-7b8ffc923a5d"]}],"mendeley":{"formattedCitation":"(9)","plainTextFormattedCitation":"(9)"},"properties":{"noteIndex":0},"schema":"https://github.com/citation-style-language/schema/raw/master/csl-citation.json"}</w:instrText>
      </w:r>
      <w:r w:rsidR="00F2052F">
        <w:rPr>
          <w:rFonts w:ascii="Times New Roman" w:hAnsi="Times New Roman" w:cs="Times New Roman"/>
          <w:color w:val="505050"/>
          <w:sz w:val="24"/>
          <w:szCs w:val="24"/>
        </w:rPr>
        <w:fldChar w:fldCharType="separate"/>
      </w:r>
      <w:r w:rsidR="00F2052F" w:rsidRPr="00F2052F">
        <w:rPr>
          <w:rFonts w:ascii="Times New Roman" w:hAnsi="Times New Roman" w:cs="Times New Roman"/>
          <w:noProof/>
          <w:color w:val="505050"/>
          <w:sz w:val="24"/>
          <w:szCs w:val="24"/>
        </w:rPr>
        <w:t>(9)</w:t>
      </w:r>
      <w:r w:rsidR="00F2052F">
        <w:rPr>
          <w:rFonts w:ascii="Times New Roman" w:hAnsi="Times New Roman" w:cs="Times New Roman"/>
          <w:color w:val="505050"/>
          <w:sz w:val="24"/>
          <w:szCs w:val="24"/>
        </w:rPr>
        <w:fldChar w:fldCharType="end"/>
      </w:r>
      <w:r w:rsidR="003A5612">
        <w:rPr>
          <w:rFonts w:ascii="Times New Roman" w:hAnsi="Times New Roman" w:cs="Times New Roman"/>
          <w:color w:val="505050"/>
          <w:sz w:val="24"/>
          <w:szCs w:val="24"/>
        </w:rPr>
        <w:t>.</w:t>
      </w:r>
      <w:r w:rsidR="00F2052F">
        <w:rPr>
          <w:rFonts w:ascii="Times New Roman" w:hAnsi="Times New Roman" w:cs="Times New Roman"/>
          <w:color w:val="505050"/>
          <w:sz w:val="24"/>
          <w:szCs w:val="24"/>
        </w:rPr>
        <w:t xml:space="preserve"> </w:t>
      </w:r>
      <w:r w:rsidR="003A5612" w:rsidRPr="003A5612">
        <w:rPr>
          <w:rFonts w:ascii="Times New Roman" w:hAnsi="Times New Roman" w:cs="Times New Roman"/>
          <w:sz w:val="24"/>
          <w:szCs w:val="24"/>
        </w:rPr>
        <w:t>E</w:t>
      </w:r>
      <w:r w:rsidR="003A5612">
        <w:rPr>
          <w:rFonts w:ascii="Times New Roman" w:hAnsi="Times New Roman" w:cs="Times New Roman"/>
          <w:sz w:val="24"/>
          <w:szCs w:val="24"/>
        </w:rPr>
        <w:t>ste</w:t>
      </w:r>
      <w:r w:rsidR="003A5612" w:rsidRPr="003A5612">
        <w:rPr>
          <w:rFonts w:ascii="Times New Roman" w:hAnsi="Times New Roman" w:cs="Times New Roman"/>
          <w:sz w:val="24"/>
          <w:szCs w:val="24"/>
        </w:rPr>
        <w:t xml:space="preserve"> regula la actividad y expresión del mRNA para la síntesis de IL-6. Un incremento en la </w:t>
      </w:r>
      <w:r w:rsidR="003A5612" w:rsidRPr="003A5612">
        <w:rPr>
          <w:rFonts w:ascii="Times New Roman" w:hAnsi="Times New Roman" w:cs="Times New Roman"/>
          <w:sz w:val="24"/>
          <w:szCs w:val="24"/>
        </w:rPr>
        <w:lastRenderedPageBreak/>
        <w:t>secreción de esta citocina parece estar relacionada con la reabsorción ósea, contribuyendo al desarrollo de periodontitis</w:t>
      </w:r>
      <w:r w:rsidR="00841F94">
        <w:rPr>
          <w:rFonts w:ascii="Times New Roman" w:hAnsi="Times New Roman" w:cs="Times New Roman"/>
          <w:sz w:val="24"/>
          <w:szCs w:val="24"/>
        </w:rPr>
        <w:fldChar w:fldCharType="begin" w:fldLock="1"/>
      </w:r>
      <w:r w:rsidR="00F2052F">
        <w:rPr>
          <w:rFonts w:ascii="Times New Roman" w:hAnsi="Times New Roman" w:cs="Times New Roman"/>
          <w:sz w:val="24"/>
          <w:szCs w:val="24"/>
        </w:rPr>
        <w:instrText>ADDIN CSL_CITATION {"citationItems":[{"id":"ITEM-1","itemData":{"DOI":"10.1016/0167-5699(90)90173-7","ISSN":"01675699","author":[{"dropping-particle":"","family":"Hirano","given":"Toshio","non-dropping-particle":"","parse-names":false,"suffix":""},{"dropping-particle":"","family":"Akira","given":"Shizuo","non-dropping-particle":"","parse-names":false,"suffix":""},{"dropping-particle":"","family":"Taga","given":"Tetsuya","non-dropping-particle":"","parse-names":false,"suffix":""},{"dropping-particle":"","family":"Kishimoto","given":"Tadamitsu","non-dropping-particle":"","parse-names":false,"suffix":""}],"container-title":"Immunology Today","id":"ITEM-1","issued":{"date-parts":[["1990","1"]]},"page":"443-449","title":"Biological and clinical aspects of interleukin 6","type":"article-journal","volume":"11"},"uris":["http://www.mendeley.com/documents/?uuid=cd039a31-42e4-4bca-929a-fefd6cf33218"]},{"id":"ITEM-2","itemData":{"DOI":"10.1007/BF01986402","ISSN":"0065-4299","author":[{"dropping-particle":"","family":"Bertazzolo","given":"N.","non-dropping-particle":"","parse-names":false,"suffix":""},{"dropping-particle":"","family":"Punzi","given":"L.","non-dropping-particle":"","parse-names":false,"suffix":""},{"dropping-particle":"","family":"Stefani","given":"M. P.","non-dropping-particle":"","parse-names":false,"suffix":""},{"dropping-particle":"","family":"Cesaro","given":"G.","non-dropping-particle":"","parse-names":false,"suffix":""},{"dropping-particle":"","family":"Pianon","given":"M.","non-dropping-particle":"","parse-names":false,"suffix":""},{"dropping-particle":"","family":"Finco","given":"B.","non-dropping-particle":"","parse-names":false,"suffix":""},{"dropping-particle":"","family":"Todesco","given":"S.","non-dropping-particle":"","parse-names":false,"suffix":""}],"container-title":"Agents and Actions","id":"ITEM-2","issue":"1-2","issued":{"date-parts":[["1994","3"]]},"page":"90-92","title":"Interrelationships between interleukin (IL)-1, IL-6 and IL-8 in synovial fluid of various arthropathies","type":"article-journal","volume":"41"},"uris":["http://www.mendeley.com/documents/?uuid=dede5797-7dcb-4a61-b1c7-b7b5caeac965"]}],"mendeley":{"formattedCitation":"(10,11)","plainTextFormattedCitation":"(10,11)","previouslyFormattedCitation":"(9,10)"},"properties":{"noteIndex":0},"schema":"https://github.com/citation-style-language/schema/raw/master/csl-citation.json"}</w:instrText>
      </w:r>
      <w:r w:rsidR="00841F94">
        <w:rPr>
          <w:rFonts w:ascii="Times New Roman" w:hAnsi="Times New Roman" w:cs="Times New Roman"/>
          <w:sz w:val="24"/>
          <w:szCs w:val="24"/>
        </w:rPr>
        <w:fldChar w:fldCharType="separate"/>
      </w:r>
      <w:r w:rsidR="00F2052F" w:rsidRPr="00F2052F">
        <w:rPr>
          <w:rFonts w:ascii="Times New Roman" w:hAnsi="Times New Roman" w:cs="Times New Roman"/>
          <w:noProof/>
          <w:sz w:val="24"/>
          <w:szCs w:val="24"/>
        </w:rPr>
        <w:t>(10,11)</w:t>
      </w:r>
      <w:r w:rsidR="00841F94">
        <w:rPr>
          <w:rFonts w:ascii="Times New Roman" w:hAnsi="Times New Roman" w:cs="Times New Roman"/>
          <w:sz w:val="24"/>
          <w:szCs w:val="24"/>
        </w:rPr>
        <w:fldChar w:fldCharType="end"/>
      </w:r>
      <w:r w:rsidR="00841F94">
        <w:rPr>
          <w:rFonts w:ascii="Times New Roman" w:hAnsi="Times New Roman" w:cs="Times New Roman"/>
          <w:sz w:val="24"/>
          <w:szCs w:val="24"/>
        </w:rPr>
        <w:t>.</w:t>
      </w:r>
    </w:p>
    <w:p w14:paraId="1C8DE4EC" w14:textId="0D8CD266" w:rsidR="000579FB" w:rsidRPr="003B0C9B" w:rsidRDefault="00856A4D" w:rsidP="000579FB">
      <w:pPr>
        <w:tabs>
          <w:tab w:val="left" w:pos="11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00F31442" w:rsidRPr="00F705AB">
        <w:rPr>
          <w:rFonts w:ascii="Times New Roman" w:hAnsi="Times New Roman" w:cs="Times New Roman"/>
          <w:sz w:val="24"/>
          <w:szCs w:val="24"/>
        </w:rPr>
        <w:t xml:space="preserve">e han descrito distintos polimorfismos de la región promotora de este gen, como el </w:t>
      </w:r>
      <w:r>
        <w:rPr>
          <w:rFonts w:ascii="Times New Roman" w:hAnsi="Times New Roman" w:cs="Times New Roman"/>
          <w:sz w:val="24"/>
          <w:szCs w:val="24"/>
        </w:rPr>
        <w:t>g</w:t>
      </w:r>
      <w:r w:rsidR="00F31442" w:rsidRPr="00F705AB">
        <w:rPr>
          <w:rFonts w:ascii="Times New Roman" w:hAnsi="Times New Roman" w:cs="Times New Roman"/>
          <w:sz w:val="24"/>
          <w:szCs w:val="24"/>
        </w:rPr>
        <w:t>-572 G</w:t>
      </w:r>
      <w:r w:rsidR="00065745">
        <w:rPr>
          <w:rFonts w:ascii="Times New Roman" w:hAnsi="Times New Roman" w:cs="Times New Roman"/>
          <w:sz w:val="24"/>
          <w:szCs w:val="24"/>
        </w:rPr>
        <w:t>&gt;</w:t>
      </w:r>
      <w:r w:rsidR="00F31442" w:rsidRPr="00F705AB">
        <w:rPr>
          <w:rFonts w:ascii="Times New Roman" w:hAnsi="Times New Roman" w:cs="Times New Roman"/>
          <w:sz w:val="24"/>
          <w:szCs w:val="24"/>
        </w:rPr>
        <w:t>C</w:t>
      </w:r>
      <w:r w:rsidR="00F31442" w:rsidRPr="001C57A5">
        <w:rPr>
          <w:rFonts w:ascii="Times New Roman" w:hAnsi="Times New Roman" w:cs="Times New Roman"/>
          <w:sz w:val="24"/>
          <w:szCs w:val="24"/>
        </w:rPr>
        <w:t xml:space="preserve">, </w:t>
      </w:r>
      <w:r w:rsidR="00065745" w:rsidRPr="001C57A5">
        <w:rPr>
          <w:rFonts w:ascii="Times New Roman" w:hAnsi="Times New Roman" w:cs="Times New Roman"/>
          <w:sz w:val="24"/>
          <w:szCs w:val="24"/>
        </w:rPr>
        <w:t>g.</w:t>
      </w:r>
      <w:r w:rsidR="00F31442" w:rsidRPr="001C57A5">
        <w:rPr>
          <w:rFonts w:ascii="Times New Roman" w:hAnsi="Times New Roman" w:cs="Times New Roman"/>
          <w:sz w:val="24"/>
          <w:szCs w:val="24"/>
        </w:rPr>
        <w:t>-373</w:t>
      </w:r>
      <w:r w:rsidR="00C160B0" w:rsidRPr="001C57A5">
        <w:rPr>
          <w:rFonts w:ascii="Times New Roman" w:hAnsi="Times New Roman" w:cs="Times New Roman"/>
          <w:sz w:val="24"/>
          <w:szCs w:val="24"/>
        </w:rPr>
        <w:t>A</w:t>
      </w:r>
      <w:r w:rsidR="00F31442" w:rsidRPr="001C57A5">
        <w:rPr>
          <w:rFonts w:ascii="Times New Roman" w:hAnsi="Times New Roman" w:cs="Times New Roman"/>
          <w:sz w:val="24"/>
          <w:szCs w:val="24"/>
        </w:rPr>
        <w:t xml:space="preserve">(n)T(n), </w:t>
      </w:r>
      <w:r w:rsidR="00F31442" w:rsidRPr="00C160B0">
        <w:rPr>
          <w:rFonts w:ascii="Times New Roman" w:hAnsi="Times New Roman" w:cs="Times New Roman"/>
          <w:sz w:val="24"/>
          <w:szCs w:val="24"/>
        </w:rPr>
        <w:t>-597G&gt;</w:t>
      </w:r>
      <w:r w:rsidR="00C160B0" w:rsidRPr="00C160B0">
        <w:rPr>
          <w:rFonts w:ascii="Times New Roman" w:hAnsi="Times New Roman" w:cs="Times New Roman"/>
          <w:sz w:val="24"/>
          <w:szCs w:val="24"/>
        </w:rPr>
        <w:t>A</w:t>
      </w:r>
      <w:r w:rsidR="00F31442" w:rsidRPr="00C160B0">
        <w:rPr>
          <w:rFonts w:ascii="Times New Roman" w:hAnsi="Times New Roman" w:cs="Times New Roman"/>
          <w:sz w:val="24"/>
          <w:szCs w:val="24"/>
        </w:rPr>
        <w:t xml:space="preserve">, </w:t>
      </w:r>
      <w:r w:rsidR="00065745" w:rsidRPr="00065745">
        <w:rPr>
          <w:rFonts w:ascii="Times New Roman" w:hAnsi="Times New Roman" w:cs="Times New Roman"/>
          <w:sz w:val="24"/>
          <w:szCs w:val="24"/>
        </w:rPr>
        <w:t>p. D</w:t>
      </w:r>
      <w:r w:rsidR="00F31442" w:rsidRPr="00065745">
        <w:rPr>
          <w:rFonts w:ascii="Times New Roman" w:hAnsi="Times New Roman" w:cs="Times New Roman"/>
          <w:sz w:val="24"/>
          <w:szCs w:val="24"/>
        </w:rPr>
        <w:t>358A</w:t>
      </w:r>
      <w:r>
        <w:rPr>
          <w:rFonts w:ascii="Times New Roman" w:hAnsi="Times New Roman" w:cs="Times New Roman"/>
          <w:sz w:val="24"/>
          <w:szCs w:val="24"/>
        </w:rPr>
        <w:t xml:space="preserve"> y</w:t>
      </w:r>
      <w:r w:rsidR="00F31442" w:rsidRPr="00F705AB">
        <w:rPr>
          <w:rFonts w:ascii="Times New Roman" w:hAnsi="Times New Roman" w:cs="Times New Roman"/>
          <w:sz w:val="24"/>
          <w:szCs w:val="24"/>
        </w:rPr>
        <w:t xml:space="preserve"> </w:t>
      </w:r>
      <w:r w:rsidR="00065745">
        <w:rPr>
          <w:rFonts w:ascii="Times New Roman" w:hAnsi="Times New Roman" w:cs="Times New Roman"/>
          <w:sz w:val="24"/>
          <w:szCs w:val="24"/>
        </w:rPr>
        <w:t>g.</w:t>
      </w:r>
      <w:r w:rsidR="00F31442" w:rsidRPr="00F705AB">
        <w:rPr>
          <w:rFonts w:ascii="Times New Roman" w:hAnsi="Times New Roman" w:cs="Times New Roman"/>
          <w:sz w:val="24"/>
          <w:szCs w:val="24"/>
        </w:rPr>
        <w:t>-174 G</w:t>
      </w:r>
      <w:r w:rsidR="00065745">
        <w:rPr>
          <w:rFonts w:ascii="Times New Roman" w:hAnsi="Times New Roman" w:cs="Times New Roman"/>
          <w:sz w:val="24"/>
          <w:szCs w:val="24"/>
        </w:rPr>
        <w:t>&gt;</w:t>
      </w:r>
      <w:r w:rsidR="00F31442" w:rsidRPr="00F705AB">
        <w:rPr>
          <w:rFonts w:ascii="Times New Roman" w:hAnsi="Times New Roman" w:cs="Times New Roman"/>
          <w:sz w:val="24"/>
          <w:szCs w:val="24"/>
        </w:rPr>
        <w:t>C, siendo estos dos últimos los más estudiados</w:t>
      </w:r>
      <w:r>
        <w:rPr>
          <w:rFonts w:ascii="Times New Roman" w:hAnsi="Times New Roman" w:cs="Times New Roman"/>
          <w:sz w:val="24"/>
          <w:szCs w:val="24"/>
        </w:rPr>
        <w:t xml:space="preserve"> </w:t>
      </w:r>
      <w:r w:rsidR="00841F94">
        <w:rPr>
          <w:rFonts w:ascii="Times New Roman" w:hAnsi="Times New Roman" w:cs="Times New Roman"/>
          <w:sz w:val="24"/>
          <w:szCs w:val="24"/>
        </w:rPr>
        <w:fldChar w:fldCharType="begin" w:fldLock="1"/>
      </w:r>
      <w:r w:rsidR="00F2052F">
        <w:rPr>
          <w:rFonts w:ascii="Times New Roman" w:hAnsi="Times New Roman" w:cs="Times New Roman"/>
          <w:sz w:val="24"/>
          <w:szCs w:val="24"/>
        </w:rPr>
        <w:instrText>ADDIN CSL_CITATION {"citationItems":[{"id":"ITEM-1","itemData":{"DOI":"10.1902/annals.1998.3.1.327","ISSN":"1553-0841","author":[{"dropping-particle":"","family":"Kornman","given":"Kenneth S.","non-dropping-particle":"","parse-names":false,"suffix":""},{"dropping-particle":"","family":"Giovine","given":"Francesco S.","non-dropping-particle":"di","parse-names":false,"suffix":""}],"container-title":"Annals of Periodontology","id":"ITEM-1","issue":"1","issued":{"date-parts":[["1998","7"]]},"page":"327-338","title":"Genetic Variations in Cytokine Expression: A Risk Factor for Severity of Adult Periodontitis","type":"article-journal","volume":"3"},"uris":["http://www.mendeley.com/documents/?uuid=5dae053f-18ad-4903-bcb5-6a2f643b266f"]},{"id":"ITEM-2","itemData":{"DOI":"10.1902/jop.1998.69.8.899","ISSN":"0022-3492","author":[{"dropping-particle":"","family":"Dongari-Bagtzoglou","given":"Anna I.","non-dropping-particle":"","parse-names":false,"suffix":""},{"dropping-particle":"","family":"Ebersole","given":"Jeffrey L.","non-dropping-particle":"","parse-names":false,"suffix":""}],"container-title":"Journal of Periodontology","id":"ITEM-2","issue":"8","issued":{"date-parts":[["1998","8"]]},"page":"899-910","title":"Increased Presence of Interleukin-6 (IL-6) and IL-8 Secreting Fibroblast Subpopulations in Adult Periodontitis","type":"article-journal","volume":"69"},"uris":["http://www.mendeley.com/documents/?uuid=41a86545-5115-40db-90cb-6851dc276f9f"]}],"mendeley":{"formattedCitation":"(6,12)","plainTextFormattedCitation":"(6,12)","previouslyFormattedCitation":"(6,11)"},"properties":{"noteIndex":0},"schema":"https://github.com/citation-style-language/schema/raw/master/csl-citation.json"}</w:instrText>
      </w:r>
      <w:r w:rsidR="00841F94">
        <w:rPr>
          <w:rFonts w:ascii="Times New Roman" w:hAnsi="Times New Roman" w:cs="Times New Roman"/>
          <w:sz w:val="24"/>
          <w:szCs w:val="24"/>
        </w:rPr>
        <w:fldChar w:fldCharType="separate"/>
      </w:r>
      <w:r w:rsidR="00F2052F" w:rsidRPr="00F2052F">
        <w:rPr>
          <w:rFonts w:ascii="Times New Roman" w:hAnsi="Times New Roman" w:cs="Times New Roman"/>
          <w:noProof/>
          <w:sz w:val="24"/>
          <w:szCs w:val="24"/>
        </w:rPr>
        <w:t>(6,12)</w:t>
      </w:r>
      <w:r w:rsidR="00841F94">
        <w:rPr>
          <w:rFonts w:ascii="Times New Roman" w:hAnsi="Times New Roman" w:cs="Times New Roman"/>
          <w:sz w:val="24"/>
          <w:szCs w:val="24"/>
        </w:rPr>
        <w:fldChar w:fldCharType="end"/>
      </w:r>
      <w:r w:rsidR="00F31442" w:rsidRPr="00F705AB">
        <w:rPr>
          <w:rFonts w:ascii="Times New Roman" w:hAnsi="Times New Roman" w:cs="Times New Roman"/>
          <w:sz w:val="24"/>
          <w:szCs w:val="24"/>
        </w:rPr>
        <w:t>.</w:t>
      </w:r>
      <w:r>
        <w:rPr>
          <w:rFonts w:ascii="Times New Roman" w:hAnsi="Times New Roman" w:cs="Times New Roman"/>
          <w:sz w:val="24"/>
          <w:szCs w:val="24"/>
        </w:rPr>
        <w:t xml:space="preserve"> </w:t>
      </w:r>
      <w:r w:rsidR="00056A55" w:rsidRPr="00F705AB">
        <w:rPr>
          <w:rFonts w:ascii="Times New Roman" w:hAnsi="Times New Roman" w:cs="Times New Roman"/>
          <w:sz w:val="24"/>
          <w:szCs w:val="24"/>
        </w:rPr>
        <w:t>E</w:t>
      </w:r>
      <w:r w:rsidR="00056A55">
        <w:rPr>
          <w:rFonts w:ascii="Times New Roman" w:hAnsi="Times New Roman" w:cs="Times New Roman"/>
          <w:sz w:val="24"/>
          <w:szCs w:val="24"/>
        </w:rPr>
        <w:t>n relación con</w:t>
      </w:r>
      <w:r w:rsidR="00056A55" w:rsidRPr="00056A55">
        <w:t xml:space="preserve"> </w:t>
      </w:r>
      <w:r w:rsidR="00056A55">
        <w:t xml:space="preserve">el </w:t>
      </w:r>
      <w:r w:rsidR="00056A55" w:rsidRPr="00056A55">
        <w:rPr>
          <w:rFonts w:ascii="Times New Roman" w:hAnsi="Times New Roman" w:cs="Times New Roman"/>
          <w:sz w:val="24"/>
          <w:szCs w:val="24"/>
        </w:rPr>
        <w:t xml:space="preserve">g.-174 G&gt;C </w:t>
      </w:r>
      <w:r w:rsidR="00056A55">
        <w:rPr>
          <w:rFonts w:ascii="Times New Roman" w:hAnsi="Times New Roman" w:cs="Times New Roman"/>
          <w:sz w:val="24"/>
          <w:szCs w:val="24"/>
        </w:rPr>
        <w:t>e</w:t>
      </w:r>
      <w:r w:rsidR="00F31442" w:rsidRPr="00F705AB">
        <w:rPr>
          <w:rFonts w:ascii="Times New Roman" w:hAnsi="Times New Roman" w:cs="Times New Roman"/>
          <w:sz w:val="24"/>
          <w:szCs w:val="24"/>
        </w:rPr>
        <w:t xml:space="preserve">l genotipo GC presenta la prevalencia más elevada en la mayoría de </w:t>
      </w:r>
      <w:r w:rsidR="00D317E7" w:rsidRPr="00F705AB">
        <w:rPr>
          <w:rFonts w:ascii="Times New Roman" w:hAnsi="Times New Roman" w:cs="Times New Roman"/>
          <w:sz w:val="24"/>
          <w:szCs w:val="24"/>
        </w:rPr>
        <w:t>los estudios</w:t>
      </w:r>
      <w:r w:rsidR="00F31442" w:rsidRPr="00F705AB">
        <w:rPr>
          <w:rFonts w:ascii="Times New Roman" w:hAnsi="Times New Roman" w:cs="Times New Roman"/>
          <w:sz w:val="24"/>
          <w:szCs w:val="24"/>
        </w:rPr>
        <w:t xml:space="preserve"> poblacionales realizados. El CC, normalmente e</w:t>
      </w:r>
      <w:r w:rsidR="00056A55">
        <w:rPr>
          <w:rFonts w:ascii="Times New Roman" w:hAnsi="Times New Roman" w:cs="Times New Roman"/>
          <w:sz w:val="24"/>
          <w:szCs w:val="24"/>
        </w:rPr>
        <w:t>s</w:t>
      </w:r>
      <w:r w:rsidR="00F31442" w:rsidRPr="00F705AB">
        <w:rPr>
          <w:rFonts w:ascii="Times New Roman" w:hAnsi="Times New Roman" w:cs="Times New Roman"/>
          <w:sz w:val="24"/>
          <w:szCs w:val="24"/>
        </w:rPr>
        <w:t xml:space="preserve"> de menor incidencia, </w:t>
      </w:r>
      <w:r w:rsidR="00056A55">
        <w:rPr>
          <w:rFonts w:ascii="Times New Roman" w:hAnsi="Times New Roman" w:cs="Times New Roman"/>
          <w:sz w:val="24"/>
          <w:szCs w:val="24"/>
        </w:rPr>
        <w:t xml:space="preserve">y se </w:t>
      </w:r>
      <w:r w:rsidR="00F31442" w:rsidRPr="00F705AB">
        <w:rPr>
          <w:rFonts w:ascii="Times New Roman" w:hAnsi="Times New Roman" w:cs="Times New Roman"/>
          <w:sz w:val="24"/>
          <w:szCs w:val="24"/>
        </w:rPr>
        <w:t xml:space="preserve">ha relacionado con una menor expresión del gen y niveles menores de IL-6 circulante. Otros estudios han relacionado al alelo G con mayor trascripción del gen y una mayor producción </w:t>
      </w:r>
      <w:r w:rsidR="00F31442" w:rsidRPr="003B0C9B">
        <w:rPr>
          <w:rFonts w:ascii="Times New Roman" w:hAnsi="Times New Roman" w:cs="Times New Roman"/>
          <w:sz w:val="24"/>
          <w:szCs w:val="24"/>
        </w:rPr>
        <w:t xml:space="preserve">de IL-6 </w:t>
      </w:r>
      <w:r w:rsidR="00841F94" w:rsidRPr="003B0C9B">
        <w:rPr>
          <w:rFonts w:ascii="Times New Roman" w:hAnsi="Times New Roman" w:cs="Times New Roman"/>
          <w:sz w:val="24"/>
          <w:szCs w:val="24"/>
        </w:rPr>
        <w:fldChar w:fldCharType="begin" w:fldLock="1"/>
      </w:r>
      <w:r w:rsidR="00F2052F">
        <w:rPr>
          <w:rFonts w:ascii="Times New Roman" w:hAnsi="Times New Roman" w:cs="Times New Roman"/>
          <w:sz w:val="24"/>
          <w:szCs w:val="24"/>
        </w:rPr>
        <w:instrText>ADDIN CSL_CITATION {"citationItems":[{"id":"ITEM-1","itemData":{"DOI":"10.1034/j.1600-051X.2003.300201.x","ISSN":"0303-6979","author":[{"dropping-particle":"","family":"Giannopoulou","given":"Catherine","non-dropping-particle":"","parse-names":false,"suffix":""},{"dropping-particle":"","family":"Kamma","given":"Joanna J.","non-dropping-particle":"","parse-names":false,"suffix":""},{"dropping-particle":"","family":"Mombelli","given":"Andrea","non-dropping-particle":"","parse-names":false,"suffix":""}],"container-title":"Journal of Clinical Periodontology","id":"ITEM-1","issue":"2","issued":{"date-parts":[["2003","2"]]},"page":"145-153","title":"Effect of inflammation, smoking and stress on gingival crevicular fluid cytokine level","type":"article-journal","volume":"30"},"uris":["http://www.mendeley.com/documents/?uuid=30ae0438-4bb6-4782-b60c-e3f619b579e5"]},{"id":"ITEM-2","itemData":{"DOI":"10.1152/ajpendo.2001.280.5.E745","ISSN":"0193-1849","abstract":"Adipose tissue expresses tumor necrosis factor (TNF) and interleukin (IL)-6, which may cause obesity-related insulin resistance. We measured TNF and IL-6 expression in the adipose tissue of 50 lean and obese subjects without diabetes. Insulin sensitivity (S I ) was determined by an intravenous glucose tolerance test with minimal-model analysis. When lean [body mass index (BMI) &lt;25 kg/m 2 ] and obese (BMI 30–40 kg/m 2 ) subjects were compared, there was a 7.5-fold increase in TNF secretion ( P &lt; 0.05) from adipose tissue, and the TNF secretion was inversely related to S I ( r = −0.42, P &lt; 0.02). IL-6 was abundantly expressed by adipose tissue. In contrast to TNF, plasma (rather than adipose) IL-6 demonstrated the strongest relationship with obesity and insulin resistance. Plasma IL-6 was significantly higher in obese subjects and demonstrated a highly significant inverse relationship with S I ( r = −0.71, P &lt; 0.001). To separate the effects of BMI from S I , subjects who were discordant for S I were matched for BMI, age, and gender. By use of this approach, subjects with low S I demonstrated a 3.0-fold increased level of TNF secretion from adipose tissue and a 2.3-fold higher plasma IL-6 level ( P &lt; 0.05) compared with matched subjects with a high S I . Plasma IL-6 was significantly associated with plasma nonesterified fatty acid levels ( r = 0.49, P &lt; 0.002). Thus the local expression of TNF and plasma IL-6 are higher in subjects with obesity-related insulin resistance.","author":[{"dropping-particle":"","family":"Kern","given":"Philip A.","non-dropping-particle":"","parse-names":false,"suffix":""},{"dropping-particle":"","family":"Ranganathan","given":"Subramanian","non-dropping-particle":"","parse-names":false,"suffix":""},{"dropping-particle":"","family":"Li","given":"Chunling","non-dropping-particle":"","parse-names":false,"suffix":""},{"dropping-particle":"","family":"Wood","given":"Linda","non-dropping-particle":"","parse-names":false,"suffix":""},{"dropping-particle":"","family":"Ranganathan","given":"Gouri","non-dropping-particle":"","parse-names":false,"suffix":""}],"container-title":"American Journal of Physiology-Endocrinology and Metabolism","id":"ITEM-2","issue":"5","issued":{"date-parts":[["2001","5","1"]]},"page":"E745-E751","title":"Adipose tissue tumor necrosis factor and interleukin-6 expression in human obesity and insulin resistance","type":"article-journal","volume":"280"},"uris":["http://www.mendeley.com/documents/?uuid=6907a714-d84e-43df-86e6-9013d367562b"]}],"mendeley":{"formattedCitation":"(13,14)","plainTextFormattedCitation":"(13,14)","previouslyFormattedCitation":"(12,13)"},"properties":{"noteIndex":0},"schema":"https://github.com/citation-style-language/schema/raw/master/csl-citation.json"}</w:instrText>
      </w:r>
      <w:r w:rsidR="00841F94" w:rsidRPr="003B0C9B">
        <w:rPr>
          <w:rFonts w:ascii="Times New Roman" w:hAnsi="Times New Roman" w:cs="Times New Roman"/>
          <w:sz w:val="24"/>
          <w:szCs w:val="24"/>
        </w:rPr>
        <w:fldChar w:fldCharType="separate"/>
      </w:r>
      <w:r w:rsidR="00F2052F" w:rsidRPr="00F2052F">
        <w:rPr>
          <w:rFonts w:ascii="Times New Roman" w:hAnsi="Times New Roman" w:cs="Times New Roman"/>
          <w:noProof/>
          <w:sz w:val="24"/>
          <w:szCs w:val="24"/>
        </w:rPr>
        <w:t>(13,14)</w:t>
      </w:r>
      <w:r w:rsidR="00841F94" w:rsidRPr="003B0C9B">
        <w:rPr>
          <w:rFonts w:ascii="Times New Roman" w:hAnsi="Times New Roman" w:cs="Times New Roman"/>
          <w:sz w:val="24"/>
          <w:szCs w:val="24"/>
        </w:rPr>
        <w:fldChar w:fldCharType="end"/>
      </w:r>
      <w:r w:rsidR="00F31442" w:rsidRPr="003B0C9B">
        <w:rPr>
          <w:rFonts w:ascii="Times New Roman" w:hAnsi="Times New Roman" w:cs="Times New Roman"/>
          <w:sz w:val="24"/>
          <w:szCs w:val="24"/>
        </w:rPr>
        <w:t>.</w:t>
      </w:r>
      <w:r w:rsidRPr="003B0C9B">
        <w:rPr>
          <w:rFonts w:ascii="Times New Roman" w:hAnsi="Times New Roman" w:cs="Times New Roman"/>
          <w:sz w:val="24"/>
          <w:szCs w:val="24"/>
        </w:rPr>
        <w:t xml:space="preserve"> </w:t>
      </w:r>
      <w:r w:rsidR="00F31442" w:rsidRPr="003B0C9B">
        <w:rPr>
          <w:rFonts w:ascii="Times New Roman" w:hAnsi="Times New Roman" w:cs="Times New Roman"/>
          <w:sz w:val="24"/>
          <w:szCs w:val="24"/>
        </w:rPr>
        <w:t xml:space="preserve">La distribución </w:t>
      </w:r>
      <w:r w:rsidR="000A6A5B" w:rsidRPr="003B0C9B">
        <w:rPr>
          <w:rFonts w:ascii="Times New Roman" w:hAnsi="Times New Roman" w:cs="Times New Roman"/>
          <w:sz w:val="24"/>
          <w:szCs w:val="24"/>
        </w:rPr>
        <w:t xml:space="preserve">de la frecuencia </w:t>
      </w:r>
      <w:r w:rsidR="00F31442" w:rsidRPr="003B0C9B">
        <w:rPr>
          <w:rFonts w:ascii="Times New Roman" w:hAnsi="Times New Roman" w:cs="Times New Roman"/>
          <w:sz w:val="24"/>
          <w:szCs w:val="24"/>
        </w:rPr>
        <w:t xml:space="preserve">alélica </w:t>
      </w:r>
      <w:r w:rsidR="000A6A5B" w:rsidRPr="003B0C9B">
        <w:rPr>
          <w:rFonts w:ascii="Times New Roman" w:hAnsi="Times New Roman" w:cs="Times New Roman"/>
          <w:sz w:val="24"/>
          <w:szCs w:val="24"/>
        </w:rPr>
        <w:t>del polimorfismo g.-174 G&gt;C,</w:t>
      </w:r>
      <w:r w:rsidRPr="003B0C9B">
        <w:rPr>
          <w:rFonts w:ascii="Times New Roman" w:hAnsi="Times New Roman" w:cs="Times New Roman"/>
          <w:sz w:val="24"/>
          <w:szCs w:val="24"/>
        </w:rPr>
        <w:t xml:space="preserve"> parece estar influenciada</w:t>
      </w:r>
      <w:r w:rsidR="00F31442" w:rsidRPr="003B0C9B">
        <w:rPr>
          <w:rFonts w:ascii="Times New Roman" w:hAnsi="Times New Roman" w:cs="Times New Roman"/>
          <w:sz w:val="24"/>
          <w:szCs w:val="24"/>
        </w:rPr>
        <w:t xml:space="preserve"> por el origen étnico y la distribución geográfica</w:t>
      </w:r>
      <w:r w:rsidR="00405D98" w:rsidRPr="003B0C9B">
        <w:rPr>
          <w:rFonts w:ascii="Times New Roman" w:hAnsi="Times New Roman" w:cs="Times New Roman"/>
          <w:sz w:val="24"/>
          <w:szCs w:val="24"/>
        </w:rPr>
        <w:t xml:space="preserve"> </w:t>
      </w:r>
      <w:r w:rsidR="00841F94" w:rsidRPr="003B0C9B">
        <w:rPr>
          <w:rFonts w:ascii="Times New Roman" w:hAnsi="Times New Roman" w:cs="Times New Roman"/>
          <w:sz w:val="24"/>
          <w:szCs w:val="24"/>
        </w:rPr>
        <w:fldChar w:fldCharType="begin" w:fldLock="1"/>
      </w:r>
      <w:r w:rsidR="00F2052F">
        <w:rPr>
          <w:rFonts w:ascii="Times New Roman" w:hAnsi="Times New Roman" w:cs="Times New Roman"/>
          <w:sz w:val="24"/>
          <w:szCs w:val="24"/>
        </w:rPr>
        <w:instrText>ADDIN CSL_CITATION {"citationItems":[{"id":"ITEM-1","itemData":{"DOI":"10.1186/1297-9686-34-3-275","ISSN":"1297-9686","author":[{"dropping-particle":"","family":"Vignal","given":"Alain","non-dropping-particle":"","parse-names":false,"suffix":""},{"dropping-particle":"","family":"Milan","given":"Denis","non-dropping-particle":"","parse-names":false,"suffix":""},{"dropping-particle":"","family":"SanCristobal","given":"Magali","non-dropping-particle":"","parse-names":false,"suffix":""},{"dropping-particle":"","family":"Eggen","given":"André","non-dropping-particle":"","parse-names":false,"suffix":""}],"container-title":"Genetics Selection Evolution","id":"ITEM-1","issue":"3","issued":{"date-parts":[["2002","6","15"]]},"page":"275","title":"A review on SNP and other types of molecular markers and their use in animal genetics","type":"article-journal","volume":"34"},"uris":["http://www.mendeley.com/documents/?uuid=31132281-457c-40f6-8b96-51c4e511af69"]}],"mendeley":{"formattedCitation":"(15)","plainTextFormattedCitation":"(15)","previouslyFormattedCitation":"(14)"},"properties":{"noteIndex":0},"schema":"https://github.com/citation-style-language/schema/raw/master/csl-citation.json"}</w:instrText>
      </w:r>
      <w:r w:rsidR="00841F94" w:rsidRPr="003B0C9B">
        <w:rPr>
          <w:rFonts w:ascii="Times New Roman" w:hAnsi="Times New Roman" w:cs="Times New Roman"/>
          <w:sz w:val="24"/>
          <w:szCs w:val="24"/>
        </w:rPr>
        <w:fldChar w:fldCharType="separate"/>
      </w:r>
      <w:r w:rsidR="00F2052F" w:rsidRPr="00F2052F">
        <w:rPr>
          <w:rFonts w:ascii="Times New Roman" w:hAnsi="Times New Roman" w:cs="Times New Roman"/>
          <w:noProof/>
          <w:sz w:val="24"/>
          <w:szCs w:val="24"/>
        </w:rPr>
        <w:t>(15)</w:t>
      </w:r>
      <w:r w:rsidR="00841F94" w:rsidRPr="003B0C9B">
        <w:rPr>
          <w:rFonts w:ascii="Times New Roman" w:hAnsi="Times New Roman" w:cs="Times New Roman"/>
          <w:sz w:val="24"/>
          <w:szCs w:val="24"/>
        </w:rPr>
        <w:fldChar w:fldCharType="end"/>
      </w:r>
      <w:r w:rsidR="00F31442" w:rsidRPr="003B0C9B">
        <w:rPr>
          <w:rFonts w:ascii="Times New Roman" w:hAnsi="Times New Roman" w:cs="Times New Roman"/>
          <w:sz w:val="24"/>
          <w:szCs w:val="24"/>
        </w:rPr>
        <w:t xml:space="preserve">. </w:t>
      </w:r>
      <w:r w:rsidR="000579FB" w:rsidRPr="003B0C9B">
        <w:rPr>
          <w:rFonts w:ascii="Times New Roman" w:hAnsi="Times New Roman" w:cs="Times New Roman"/>
          <w:sz w:val="24"/>
          <w:szCs w:val="24"/>
        </w:rPr>
        <w:t xml:space="preserve">El objetivo de este estudio fue determinar la asociación del polimorfismo g.-174G&gt;C del gen </w:t>
      </w:r>
      <w:r w:rsidR="000579FB" w:rsidRPr="003B0C9B">
        <w:rPr>
          <w:rFonts w:ascii="Times New Roman" w:hAnsi="Times New Roman" w:cs="Times New Roman"/>
          <w:i/>
          <w:iCs/>
          <w:sz w:val="24"/>
          <w:szCs w:val="24"/>
        </w:rPr>
        <w:t>IL-6</w:t>
      </w:r>
      <w:r w:rsidR="000579FB" w:rsidRPr="003B0C9B">
        <w:rPr>
          <w:rFonts w:ascii="Times New Roman" w:hAnsi="Times New Roman" w:cs="Times New Roman"/>
          <w:sz w:val="24"/>
          <w:szCs w:val="24"/>
        </w:rPr>
        <w:t xml:space="preserve"> con la periodontitis. </w:t>
      </w:r>
    </w:p>
    <w:p w14:paraId="62323F24" w14:textId="0A93E12B" w:rsidR="00F31442" w:rsidRPr="003B0C9B" w:rsidRDefault="00F31442" w:rsidP="004A2C20">
      <w:pPr>
        <w:tabs>
          <w:tab w:val="left" w:pos="2355"/>
        </w:tabs>
        <w:spacing w:line="360" w:lineRule="auto"/>
        <w:jc w:val="both"/>
        <w:rPr>
          <w:rFonts w:ascii="Times New Roman" w:hAnsi="Times New Roman" w:cs="Times New Roman"/>
          <w:sz w:val="24"/>
          <w:szCs w:val="24"/>
        </w:rPr>
      </w:pPr>
    </w:p>
    <w:p w14:paraId="5709A2E9" w14:textId="77777777" w:rsidR="0075795A" w:rsidRPr="003B0C9B" w:rsidRDefault="00F31442" w:rsidP="004A2C20">
      <w:pPr>
        <w:widowControl w:val="0"/>
        <w:autoSpaceDE w:val="0"/>
        <w:autoSpaceDN w:val="0"/>
        <w:adjustRightInd w:val="0"/>
        <w:spacing w:after="0" w:line="360" w:lineRule="auto"/>
        <w:ind w:left="640" w:hanging="640"/>
        <w:rPr>
          <w:rFonts w:ascii="Times New Roman" w:eastAsia="Calibri" w:hAnsi="Times New Roman" w:cs="Times New Roman"/>
          <w:b/>
          <w:sz w:val="24"/>
          <w:szCs w:val="24"/>
        </w:rPr>
      </w:pPr>
      <w:r w:rsidRPr="003B0C9B">
        <w:rPr>
          <w:rFonts w:ascii="Times New Roman" w:eastAsia="Calibri" w:hAnsi="Times New Roman" w:cs="Times New Roman"/>
          <w:b/>
          <w:sz w:val="24"/>
          <w:szCs w:val="24"/>
        </w:rPr>
        <w:t>MATERIAL Y MÉTODOS</w:t>
      </w:r>
    </w:p>
    <w:p w14:paraId="36FC84AD" w14:textId="3702B0F8" w:rsidR="003B0C9B" w:rsidRPr="00F705AB" w:rsidRDefault="00F31442" w:rsidP="003B0C9B">
      <w:pPr>
        <w:spacing w:line="360" w:lineRule="auto"/>
        <w:jc w:val="both"/>
        <w:rPr>
          <w:rFonts w:ascii="Times New Roman" w:eastAsia="Calibri" w:hAnsi="Times New Roman" w:cs="Times New Roman"/>
          <w:sz w:val="24"/>
          <w:szCs w:val="24"/>
        </w:rPr>
      </w:pPr>
      <w:r w:rsidRPr="003B0C9B">
        <w:rPr>
          <w:rFonts w:ascii="Times New Roman" w:eastAsia="Calibri" w:hAnsi="Times New Roman" w:cs="Times New Roman"/>
          <w:sz w:val="24"/>
          <w:szCs w:val="24"/>
        </w:rPr>
        <w:t>Se realizó un estudio descriptivo, transversal</w:t>
      </w:r>
      <w:r w:rsidR="000A6A5B" w:rsidRPr="003B0C9B">
        <w:rPr>
          <w:rFonts w:ascii="Times New Roman" w:eastAsia="Calibri" w:hAnsi="Times New Roman" w:cs="Times New Roman"/>
          <w:sz w:val="24"/>
          <w:szCs w:val="24"/>
        </w:rPr>
        <w:t xml:space="preserve"> y </w:t>
      </w:r>
      <w:r w:rsidRPr="003B0C9B">
        <w:rPr>
          <w:rFonts w:ascii="Times New Roman" w:eastAsia="Calibri" w:hAnsi="Times New Roman" w:cs="Times New Roman"/>
          <w:sz w:val="24"/>
          <w:szCs w:val="24"/>
        </w:rPr>
        <w:t>prospectivo de casos y controles</w:t>
      </w:r>
      <w:r w:rsidR="00752836" w:rsidRPr="003B0C9B">
        <w:rPr>
          <w:rFonts w:ascii="Times New Roman" w:eastAsia="Calibri" w:hAnsi="Times New Roman" w:cs="Times New Roman"/>
          <w:sz w:val="24"/>
          <w:szCs w:val="24"/>
        </w:rPr>
        <w:t>,</w:t>
      </w:r>
      <w:r w:rsidRPr="003B0C9B">
        <w:rPr>
          <w:rFonts w:ascii="Times New Roman" w:eastAsia="Calibri" w:hAnsi="Times New Roman" w:cs="Times New Roman"/>
          <w:sz w:val="24"/>
          <w:szCs w:val="24"/>
        </w:rPr>
        <w:t xml:space="preserve"> </w:t>
      </w:r>
      <w:r w:rsidR="00752836" w:rsidRPr="003B0C9B">
        <w:rPr>
          <w:rFonts w:ascii="Times New Roman" w:eastAsia="Calibri" w:hAnsi="Times New Roman" w:cs="Times New Roman"/>
          <w:sz w:val="24"/>
          <w:szCs w:val="24"/>
        </w:rPr>
        <w:t xml:space="preserve">en </w:t>
      </w:r>
      <w:r w:rsidR="00342B96" w:rsidRPr="003B0C9B">
        <w:rPr>
          <w:rFonts w:ascii="Times New Roman" w:eastAsia="Calibri" w:hAnsi="Times New Roman" w:cs="Times New Roman"/>
          <w:sz w:val="24"/>
          <w:szCs w:val="24"/>
        </w:rPr>
        <w:t>sujetos</w:t>
      </w:r>
      <w:r w:rsidRPr="003B0C9B">
        <w:rPr>
          <w:rFonts w:ascii="Times New Roman" w:eastAsia="Calibri" w:hAnsi="Times New Roman" w:cs="Times New Roman"/>
          <w:sz w:val="24"/>
          <w:szCs w:val="24"/>
        </w:rPr>
        <w:t xml:space="preserve"> de 25 a 65 años que acudieron al programa de especialización en periodoncia de la Facultad de Odontología de la UADY</w:t>
      </w:r>
      <w:r w:rsidR="00752836" w:rsidRPr="003B0C9B">
        <w:rPr>
          <w:rFonts w:ascii="Times New Roman" w:eastAsia="Calibri" w:hAnsi="Times New Roman" w:cs="Times New Roman"/>
          <w:sz w:val="24"/>
          <w:szCs w:val="24"/>
        </w:rPr>
        <w:t>, durante el periodo de enero de 2018 a junio de 2019</w:t>
      </w:r>
      <w:r w:rsidRPr="003B0C9B">
        <w:rPr>
          <w:rFonts w:ascii="Times New Roman" w:eastAsia="Calibri" w:hAnsi="Times New Roman" w:cs="Times New Roman"/>
          <w:sz w:val="24"/>
          <w:szCs w:val="24"/>
        </w:rPr>
        <w:t>.</w:t>
      </w:r>
      <w:r w:rsidR="000579FB" w:rsidRPr="003B0C9B">
        <w:rPr>
          <w:rFonts w:ascii="Times New Roman" w:eastAsia="Calibri" w:hAnsi="Times New Roman" w:cs="Times New Roman"/>
          <w:sz w:val="24"/>
          <w:szCs w:val="24"/>
        </w:rPr>
        <w:t xml:space="preserve"> </w:t>
      </w:r>
      <w:r w:rsidR="000579FB" w:rsidRPr="003B0C9B">
        <w:rPr>
          <w:rFonts w:ascii="Times New Roman" w:hAnsi="Times New Roman" w:cs="Times New Roman"/>
          <w:sz w:val="24"/>
          <w:szCs w:val="24"/>
        </w:rPr>
        <w:t>Los casos fueron pacientes de ambos géneros con periodontitis Estadio II Grado</w:t>
      </w:r>
      <w:r w:rsidR="000579FB" w:rsidRPr="000579FB">
        <w:rPr>
          <w:rFonts w:ascii="Times New Roman" w:hAnsi="Times New Roman" w:cs="Times New Roman"/>
          <w:sz w:val="24"/>
          <w:szCs w:val="24"/>
        </w:rPr>
        <w:t xml:space="preserve"> B. Los controles fueron sujetos en condición periodontal sana, de ambos sexos. Se excluyeron aquellos casos y controles que presentaron diabetes, enfermedades autoinmunes, enfermedades renales, enfermedades gingivales activas, y que estuvieran recibiendo tratamiento previo de antibióticos en los últimos 3 meses, con tratamiento periodontal en el último año y estar embarazada o en lactancia. Todos aceptaron participar en el estudio mediante la firma de carta de consentimiento informada.</w:t>
      </w:r>
      <w:r w:rsidR="003B0C9B" w:rsidRPr="003B0C9B">
        <w:rPr>
          <w:rFonts w:ascii="Times New Roman" w:eastAsia="Calibri" w:hAnsi="Times New Roman" w:cs="Times New Roman"/>
          <w:sz w:val="24"/>
          <w:szCs w:val="24"/>
        </w:rPr>
        <w:t xml:space="preserve"> </w:t>
      </w:r>
      <w:r w:rsidR="003B0C9B">
        <w:rPr>
          <w:rFonts w:ascii="Times New Roman" w:eastAsia="Calibri" w:hAnsi="Times New Roman" w:cs="Times New Roman"/>
          <w:sz w:val="24"/>
          <w:szCs w:val="24"/>
        </w:rPr>
        <w:t xml:space="preserve">A todos los </w:t>
      </w:r>
      <w:r w:rsidR="003B0C9B" w:rsidRPr="00F705AB">
        <w:rPr>
          <w:rFonts w:ascii="Times New Roman" w:eastAsia="Calibri" w:hAnsi="Times New Roman" w:cs="Times New Roman"/>
          <w:sz w:val="24"/>
          <w:szCs w:val="24"/>
        </w:rPr>
        <w:t>sujetos seleccionados</w:t>
      </w:r>
      <w:r w:rsidR="003B0C9B">
        <w:rPr>
          <w:rFonts w:ascii="Times New Roman" w:eastAsia="Calibri" w:hAnsi="Times New Roman" w:cs="Times New Roman"/>
          <w:sz w:val="24"/>
          <w:szCs w:val="24"/>
        </w:rPr>
        <w:t xml:space="preserve"> se les realizó una historia clínica completa, así como</w:t>
      </w:r>
      <w:r w:rsidR="003B0C9B" w:rsidRPr="00F705AB">
        <w:rPr>
          <w:rFonts w:ascii="Times New Roman" w:eastAsia="Calibri" w:hAnsi="Times New Roman" w:cs="Times New Roman"/>
          <w:sz w:val="24"/>
          <w:szCs w:val="24"/>
        </w:rPr>
        <w:t xml:space="preserve"> sondeo periodontal empleando una sonda de Carolina del Norte (Hu Freidy)</w:t>
      </w:r>
      <w:r w:rsidR="003B0C9B">
        <w:rPr>
          <w:rFonts w:ascii="Times New Roman" w:eastAsia="Calibri" w:hAnsi="Times New Roman" w:cs="Times New Roman"/>
          <w:sz w:val="24"/>
          <w:szCs w:val="24"/>
        </w:rPr>
        <w:t>;</w:t>
      </w:r>
      <w:r w:rsidR="003B0C9B" w:rsidRPr="00F705AB">
        <w:rPr>
          <w:rFonts w:ascii="Times New Roman" w:eastAsia="Calibri" w:hAnsi="Times New Roman" w:cs="Times New Roman"/>
          <w:sz w:val="24"/>
          <w:szCs w:val="24"/>
        </w:rPr>
        <w:t xml:space="preserve"> se tomaron radiografías periapicales para analizar los patrones de pérdida ósea</w:t>
      </w:r>
      <w:r w:rsidR="003B0C9B">
        <w:rPr>
          <w:rFonts w:ascii="Times New Roman" w:eastAsia="Calibri" w:hAnsi="Times New Roman" w:cs="Times New Roman"/>
          <w:sz w:val="24"/>
          <w:szCs w:val="24"/>
        </w:rPr>
        <w:t>. Para el protocolo de sondeo se</w:t>
      </w:r>
      <w:r w:rsidR="003B0C9B" w:rsidRPr="00F705AB">
        <w:rPr>
          <w:rFonts w:ascii="Times New Roman" w:eastAsia="Calibri" w:hAnsi="Times New Roman" w:cs="Times New Roman"/>
          <w:sz w:val="24"/>
          <w:szCs w:val="24"/>
        </w:rPr>
        <w:t xml:space="preserve"> midió la profundidad del surco gingival o bolsa periodontal y pérdida de inserción con una sonda periodontal de Carolina del Norte. Se sondearon todos los dientes presentes de acuerdo con el criterio clínico propuesto en el taller </w:t>
      </w:r>
      <w:r w:rsidR="003B0C9B">
        <w:rPr>
          <w:rFonts w:ascii="Times New Roman" w:eastAsia="Calibri" w:hAnsi="Times New Roman" w:cs="Times New Roman"/>
          <w:sz w:val="24"/>
          <w:szCs w:val="24"/>
        </w:rPr>
        <w:lastRenderedPageBreak/>
        <w:t>World Workshop</w:t>
      </w:r>
      <w:r w:rsidR="003B0C9B" w:rsidRPr="00F705AB">
        <w:rPr>
          <w:rFonts w:ascii="Times New Roman" w:eastAsia="Calibri" w:hAnsi="Times New Roman" w:cs="Times New Roman"/>
          <w:sz w:val="24"/>
          <w:szCs w:val="24"/>
        </w:rPr>
        <w:t xml:space="preserve"> para la clasificación de las condiciones y enfermedades periodontales </w:t>
      </w:r>
      <w:r w:rsidR="003B0C9B">
        <w:rPr>
          <w:rFonts w:ascii="Times New Roman" w:eastAsia="Calibri" w:hAnsi="Times New Roman" w:cs="Times New Roman"/>
          <w:sz w:val="24"/>
          <w:szCs w:val="24"/>
        </w:rPr>
        <w:t>y periimplantares del 2017</w:t>
      </w:r>
      <w:r w:rsidR="003B0C9B" w:rsidRPr="00F705AB">
        <w:rPr>
          <w:rFonts w:ascii="Times New Roman" w:eastAsia="Calibri" w:hAnsi="Times New Roman" w:cs="Times New Roman"/>
          <w:sz w:val="24"/>
          <w:szCs w:val="24"/>
        </w:rPr>
        <w:t xml:space="preserve"> </w:t>
      </w:r>
      <w:r w:rsidR="003B0C9B">
        <w:rPr>
          <w:rFonts w:ascii="Times New Roman" w:eastAsia="Calibri" w:hAnsi="Times New Roman" w:cs="Times New Roman"/>
          <w:sz w:val="24"/>
          <w:szCs w:val="24"/>
        </w:rPr>
        <w:fldChar w:fldCharType="begin" w:fldLock="1"/>
      </w:r>
      <w:r w:rsidR="00F2052F">
        <w:rPr>
          <w:rFonts w:ascii="Times New Roman" w:eastAsia="Calibri" w:hAnsi="Times New Roman" w:cs="Times New Roman"/>
          <w:sz w:val="24"/>
          <w:szCs w:val="24"/>
        </w:rPr>
        <w:instrText>ADDIN CSL_CITATION {"citationItems":[{"id":"ITEM-1","itemData":{"DOI":"10.1002/JPER.17-0721","ISSN":"00223492","author":[{"dropping-particle":"","family":"Papapanou","given":"Panos N.","non-dropping-particle":"","parse-names":false,"suffix":""},{"dropping-particle":"","family":"Sanz","given":"Mariano","non-dropping-particle":"","parse-names":false,"suffix":""},{"dropping-particle":"","family":"Buduneli","given":"Nurcan","non-dropping-particle":"","parse-names":false,"suffix":""},{"dropping-particle":"","family":"Dietrich","given":"Thomas","non-dropping-particle":"","parse-names":false,"suffix":""},{"dropping-particle":"","family":"Feres","given":"Magda","non-dropping-particle":"","parse-names":false,"suffix":""},{"dropping-particle":"","family":"Fine","given":"Daniel H.","non-dropping-particle":"","parse-names":false,"suffix":""},{"dropping-particle":"","family":"Flemmig","given":"Thomas F.","non-dropping-particle":"","parse-names":false,"suffix":""},{"dropping-particle":"","family":"Garcia","given":"Raul","non-dropping-particle":"","parse-names":false,"suffix":""},{"dropping-particle":"V.","family":"Giannobile","given":"William","non-dropping-particle":"","parse-names":false,"suffix":""},{"dropping-particle":"","family":"Graziani","given":"Filippo","non-dropping-particle":"","parse-names":false,"suffix":""},{"dropping-particle":"","family":"Greenwell","given":"Henry","non-dropping-particle":"","parse-names":false,"suffix":""},{"dropping-particle":"","family":"Herrera","given":"David","non-dropping-particle":"","parse-names":false,"suffix":""},{"dropping-particle":"","family":"Kao","given":"Richard T.","non-dropping-particle":"","parse-names":false,"suffix":""},{"dropping-particle":"","family":"Kebschull","given":"Moritz","non-dropping-particle":"","parse-names":false,"suffix":""},{"dropping-particle":"","family":"Kinane","given":"Denis F.","non-dropping-particle":"","parse-names":false,"suffix":""},{"dropping-particle":"","family":"Kirkwood","given":"Keith L.","non-dropping-particle":"","parse-names":false,"suffix":""},{"dropping-particle":"","family":"Kocher","given":"Thomas","non-dropping-particle":"","parse-names":false,"suffix":""},{"dropping-particle":"","family":"Kornman","given":"Kenneth S.","non-dropping-particle":"","parse-names":false,"suffix":""},{"dropping-particle":"","family":"Kumar","given":"Purnima S.","non-dropping-particle":"","parse-names":false,"suffix":""},{"dropping-particle":"","family":"Loos","given":"Bruno G.","non-dropping-particle":"","parse-names":false,"suffix":""},{"dropping-particle":"","family":"Machtei","given":"Eli","non-dropping-particle":"","parse-names":false,"suffix":""},{"dropping-particle":"","family":"Meng","given":"Huanxin","non-dropping-particle":"","parse-names":false,"suffix":""},{"dropping-particle":"","family":"Mombelli","given":"Andrea","non-dropping-particle":"","parse-names":false,"suffix":""},{"dropping-particle":"","family":"Needleman","given":"Ian","non-dropping-particle":"","parse-names":false,"suffix":""},{"dropping-particle":"","family":"Offenbacher","given":"Steven","non-dropping-particle":"","parse-names":false,"suffix":""},{"dropping-particle":"","family":"Seymour","given":"Gregory J.","non-dropping-particle":"","parse-names":false,"suffix":""},{"dropping-particle":"","family":"Teles","given":"Ricardo","non-dropping-particle":"","parse-names":false,"suffix":""},{"dropping-particle":"","family":"Tonetti","given":"Maurizio S.","non-dropping-particle":"","parse-names":false,"suffix":""}],"container-title":"Journal of Periodontology","id":"ITEM-1","issued":{"date-parts":[["2018","6"]]},"page":"S173-S182","title":"Periodontitis: Consensus report of workgroup 2 of the 2017 World Workshop on the Classification of Periodontal and Peri-Implant Diseases and Conditions","type":"article-journal","volume":"89"},"uris":["http://www.mendeley.com/documents/?uuid=346c32d4-2673-4a56-acbc-cb86dab0c713"]}],"mendeley":{"formattedCitation":"(7)","plainTextFormattedCitation":"(7)","previouslyFormattedCitation":"(7)"},"properties":{"noteIndex":0},"schema":"https://github.com/citation-style-language/schema/raw/master/csl-citation.json"}</w:instrText>
      </w:r>
      <w:r w:rsidR="003B0C9B">
        <w:rPr>
          <w:rFonts w:ascii="Times New Roman" w:eastAsia="Calibri" w:hAnsi="Times New Roman" w:cs="Times New Roman"/>
          <w:sz w:val="24"/>
          <w:szCs w:val="24"/>
        </w:rPr>
        <w:fldChar w:fldCharType="separate"/>
      </w:r>
      <w:r w:rsidR="003B0C9B" w:rsidRPr="00E47F85">
        <w:rPr>
          <w:rFonts w:ascii="Times New Roman" w:eastAsia="Calibri" w:hAnsi="Times New Roman" w:cs="Times New Roman"/>
          <w:noProof/>
          <w:sz w:val="24"/>
          <w:szCs w:val="24"/>
        </w:rPr>
        <w:t>(7)</w:t>
      </w:r>
      <w:r w:rsidR="003B0C9B">
        <w:rPr>
          <w:rFonts w:ascii="Times New Roman" w:eastAsia="Calibri" w:hAnsi="Times New Roman" w:cs="Times New Roman"/>
          <w:sz w:val="24"/>
          <w:szCs w:val="24"/>
        </w:rPr>
        <w:fldChar w:fldCharType="end"/>
      </w:r>
      <w:r w:rsidR="003B0C9B" w:rsidRPr="00F705AB">
        <w:rPr>
          <w:rFonts w:ascii="Times New Roman" w:eastAsia="Calibri" w:hAnsi="Times New Roman" w:cs="Times New Roman"/>
          <w:sz w:val="24"/>
          <w:szCs w:val="24"/>
        </w:rPr>
        <w:t>.</w:t>
      </w:r>
    </w:p>
    <w:p w14:paraId="107AA184" w14:textId="77777777" w:rsidR="003B0C9B" w:rsidRPr="00F705AB" w:rsidRDefault="003B0C9B" w:rsidP="003B0C9B">
      <w:pPr>
        <w:spacing w:line="360" w:lineRule="auto"/>
        <w:jc w:val="both"/>
        <w:rPr>
          <w:rFonts w:ascii="Times New Roman" w:eastAsia="Calibri" w:hAnsi="Times New Roman" w:cs="Times New Roman"/>
          <w:sz w:val="24"/>
          <w:szCs w:val="24"/>
        </w:rPr>
      </w:pPr>
      <w:r w:rsidRPr="00F705AB">
        <w:rPr>
          <w:rFonts w:ascii="Times New Roman" w:eastAsia="Calibri" w:hAnsi="Times New Roman" w:cs="Times New Roman"/>
          <w:sz w:val="24"/>
          <w:szCs w:val="24"/>
        </w:rPr>
        <w:t xml:space="preserve">Los </w:t>
      </w:r>
      <w:r>
        <w:rPr>
          <w:rFonts w:ascii="Times New Roman" w:eastAsia="Calibri" w:hAnsi="Times New Roman" w:cs="Times New Roman"/>
          <w:sz w:val="24"/>
          <w:szCs w:val="24"/>
        </w:rPr>
        <w:t>sujetos</w:t>
      </w:r>
      <w:r w:rsidRPr="00F705AB">
        <w:rPr>
          <w:rFonts w:ascii="Times New Roman" w:eastAsia="Calibri" w:hAnsi="Times New Roman" w:cs="Times New Roman"/>
          <w:sz w:val="24"/>
          <w:szCs w:val="24"/>
        </w:rPr>
        <w:t xml:space="preserve"> se distribuyeron en dos grupos: Grupo 1. </w:t>
      </w:r>
      <w:r>
        <w:rPr>
          <w:rFonts w:ascii="Times New Roman" w:eastAsia="Calibri" w:hAnsi="Times New Roman" w:cs="Times New Roman"/>
          <w:sz w:val="24"/>
          <w:szCs w:val="24"/>
        </w:rPr>
        <w:t>Sujetos con periodontitis Estadio II Grado B</w:t>
      </w:r>
      <w:r w:rsidRPr="00F705AB">
        <w:rPr>
          <w:rFonts w:ascii="Times New Roman" w:eastAsia="Calibri" w:hAnsi="Times New Roman" w:cs="Times New Roman"/>
          <w:sz w:val="24"/>
          <w:szCs w:val="24"/>
        </w:rPr>
        <w:t>.</w:t>
      </w:r>
      <w:r>
        <w:rPr>
          <w:rFonts w:ascii="Times New Roman" w:eastAsia="Calibri" w:hAnsi="Times New Roman" w:cs="Times New Roman"/>
          <w:sz w:val="24"/>
          <w:szCs w:val="24"/>
        </w:rPr>
        <w:t xml:space="preserve"> Grupo 2. s</w:t>
      </w:r>
      <w:r w:rsidRPr="00F705AB">
        <w:rPr>
          <w:rFonts w:ascii="Times New Roman" w:eastAsia="Calibri" w:hAnsi="Times New Roman" w:cs="Times New Roman"/>
          <w:sz w:val="24"/>
          <w:szCs w:val="24"/>
        </w:rPr>
        <w:t xml:space="preserve">ujetos periodontalmente sanos. Estos sujetos demostraron radiográficamente un nivel óseo normal (una distancia &lt; 3mm entre la cresta alveolar y la unión cemento-esmalte y la presencia de cresta alveolar en un 95% de los sitios interproximales de cada diente). Ninguno de estos pacientes presentó algún desorden sistémico que pueda afectar la condición periodontal. </w:t>
      </w:r>
    </w:p>
    <w:p w14:paraId="55F11EB4" w14:textId="5EEA15CC" w:rsidR="000579FB" w:rsidRPr="000579FB" w:rsidRDefault="000579FB" w:rsidP="000579FB">
      <w:pPr>
        <w:pStyle w:val="Textocomentario"/>
        <w:spacing w:line="360" w:lineRule="auto"/>
        <w:jc w:val="both"/>
        <w:rPr>
          <w:rFonts w:ascii="Times New Roman" w:hAnsi="Times New Roman" w:cs="Times New Roman"/>
          <w:sz w:val="24"/>
          <w:szCs w:val="24"/>
        </w:rPr>
      </w:pPr>
    </w:p>
    <w:p w14:paraId="064BD808" w14:textId="47052B4B" w:rsidR="00F31442" w:rsidRPr="00F705AB" w:rsidRDefault="00752836" w:rsidP="004A2C20">
      <w:pPr>
        <w:spacing w:line="360" w:lineRule="auto"/>
        <w:jc w:val="both"/>
        <w:rPr>
          <w:rFonts w:ascii="Times New Roman" w:eastAsia="Calibri" w:hAnsi="Times New Roman" w:cs="Times New Roman"/>
          <w:sz w:val="24"/>
          <w:szCs w:val="24"/>
        </w:rPr>
      </w:pPr>
      <w:r w:rsidRPr="00752836">
        <w:rPr>
          <w:rFonts w:ascii="Times New Roman" w:eastAsia="Calibri" w:hAnsi="Times New Roman" w:cs="Times New Roman"/>
          <w:b/>
          <w:bCs/>
          <w:sz w:val="24"/>
          <w:szCs w:val="24"/>
        </w:rPr>
        <w:t>Toma de muestra sanguínea</w:t>
      </w:r>
      <w:r>
        <w:rPr>
          <w:rFonts w:ascii="Times New Roman" w:eastAsia="Calibri" w:hAnsi="Times New Roman" w:cs="Times New Roman"/>
          <w:sz w:val="24"/>
          <w:szCs w:val="24"/>
        </w:rPr>
        <w:t xml:space="preserve">. </w:t>
      </w:r>
      <w:r w:rsidR="003B0C9B" w:rsidRPr="00F705AB">
        <w:rPr>
          <w:rFonts w:ascii="Times New Roman" w:eastAsia="Calibri" w:hAnsi="Times New Roman" w:cs="Times New Roman"/>
          <w:sz w:val="24"/>
          <w:szCs w:val="24"/>
        </w:rPr>
        <w:t xml:space="preserve">Una vez clasificados los pacientes en cada grupo, se les tomó </w:t>
      </w:r>
      <w:r w:rsidR="003B0C9B">
        <w:rPr>
          <w:rFonts w:ascii="Times New Roman" w:eastAsia="Calibri" w:hAnsi="Times New Roman" w:cs="Times New Roman"/>
          <w:sz w:val="24"/>
          <w:szCs w:val="24"/>
        </w:rPr>
        <w:t>l</w:t>
      </w:r>
      <w:r w:rsidR="003B0C9B" w:rsidRPr="00F705AB">
        <w:rPr>
          <w:rFonts w:ascii="Times New Roman" w:eastAsia="Calibri" w:hAnsi="Times New Roman" w:cs="Times New Roman"/>
          <w:sz w:val="24"/>
          <w:szCs w:val="24"/>
        </w:rPr>
        <w:t>a muestra de sangre periférica</w:t>
      </w:r>
      <w:r w:rsidR="003B0C9B">
        <w:rPr>
          <w:rFonts w:ascii="Times New Roman" w:eastAsia="Calibri" w:hAnsi="Times New Roman" w:cs="Times New Roman"/>
          <w:sz w:val="24"/>
          <w:szCs w:val="24"/>
        </w:rPr>
        <w:t xml:space="preserve"> (venopuncion)</w:t>
      </w:r>
      <w:r w:rsidR="003B0C9B" w:rsidRPr="00F705AB">
        <w:rPr>
          <w:rFonts w:ascii="Times New Roman" w:eastAsia="Calibri" w:hAnsi="Times New Roman" w:cs="Times New Roman"/>
          <w:sz w:val="24"/>
          <w:szCs w:val="24"/>
        </w:rPr>
        <w:t>, la cual se recolectó en tubos con</w:t>
      </w:r>
      <w:r w:rsidR="003B0C9B">
        <w:rPr>
          <w:rFonts w:ascii="Times New Roman" w:eastAsia="Calibri" w:hAnsi="Times New Roman" w:cs="Times New Roman"/>
          <w:sz w:val="24"/>
          <w:szCs w:val="24"/>
        </w:rPr>
        <w:t xml:space="preserve"> anticoagulante</w:t>
      </w:r>
      <w:r w:rsidR="003B0C9B" w:rsidRPr="00F705AB">
        <w:rPr>
          <w:rFonts w:ascii="Times New Roman" w:eastAsia="Calibri" w:hAnsi="Times New Roman" w:cs="Times New Roman"/>
          <w:sz w:val="24"/>
          <w:szCs w:val="24"/>
        </w:rPr>
        <w:t xml:space="preserve"> EDTA</w:t>
      </w:r>
      <w:r w:rsidR="003B0C9B">
        <w:rPr>
          <w:rFonts w:ascii="Times New Roman" w:eastAsia="Calibri" w:hAnsi="Times New Roman" w:cs="Times New Roman"/>
          <w:sz w:val="24"/>
          <w:szCs w:val="24"/>
        </w:rPr>
        <w:t xml:space="preserve"> de 10 ml</w:t>
      </w:r>
      <w:r w:rsidR="003B0C9B" w:rsidRPr="00F705AB">
        <w:rPr>
          <w:rFonts w:ascii="Times New Roman" w:eastAsia="Calibri" w:hAnsi="Times New Roman" w:cs="Times New Roman"/>
          <w:sz w:val="24"/>
          <w:szCs w:val="24"/>
        </w:rPr>
        <w:t>. Las muestras fueron codificadas y almacenadas a 4°C.</w:t>
      </w:r>
      <w:r w:rsidR="003B0C9B">
        <w:rPr>
          <w:rFonts w:ascii="Times New Roman" w:eastAsia="Calibri" w:hAnsi="Times New Roman" w:cs="Times New Roman"/>
          <w:sz w:val="24"/>
          <w:szCs w:val="24"/>
        </w:rPr>
        <w:t xml:space="preserve"> </w:t>
      </w:r>
      <w:r w:rsidR="00F31442" w:rsidRPr="00F705AB">
        <w:rPr>
          <w:rFonts w:ascii="Times New Roman" w:eastAsia="Calibri" w:hAnsi="Times New Roman" w:cs="Times New Roman"/>
          <w:sz w:val="24"/>
          <w:szCs w:val="24"/>
        </w:rPr>
        <w:t>A todos se les realizaron pruebas de gabinete (glucosa en sangre y hemoglobina glucosilada) para descartar enfermedades relacionadas con la glucosa y</w:t>
      </w:r>
      <w:r w:rsidR="000F4394" w:rsidRPr="000F4394">
        <w:rPr>
          <w:rFonts w:ascii="Times New Roman" w:eastAsia="Calibri" w:hAnsi="Times New Roman" w:cs="Times New Roman"/>
          <w:sz w:val="24"/>
          <w:szCs w:val="24"/>
        </w:rPr>
        <w:t xml:space="preserve"> </w:t>
      </w:r>
      <w:r w:rsidR="000F4394" w:rsidRPr="00F705AB">
        <w:rPr>
          <w:rFonts w:ascii="Times New Roman" w:eastAsia="Calibri" w:hAnsi="Times New Roman" w:cs="Times New Roman"/>
          <w:sz w:val="24"/>
          <w:szCs w:val="24"/>
        </w:rPr>
        <w:t xml:space="preserve">análisis de sangre para obtener muestras de ADN y por medio de </w:t>
      </w:r>
      <w:r w:rsidR="000F4394">
        <w:rPr>
          <w:rFonts w:ascii="Times New Roman" w:eastAsia="Calibri" w:hAnsi="Times New Roman" w:cs="Times New Roman"/>
          <w:sz w:val="24"/>
          <w:szCs w:val="24"/>
        </w:rPr>
        <w:t xml:space="preserve">la técnica de </w:t>
      </w:r>
      <w:r w:rsidR="000F4394" w:rsidRPr="00F705AB">
        <w:rPr>
          <w:rFonts w:ascii="Times New Roman" w:eastAsia="Calibri" w:hAnsi="Times New Roman" w:cs="Times New Roman"/>
          <w:sz w:val="24"/>
          <w:szCs w:val="24"/>
        </w:rPr>
        <w:t>PCR</w:t>
      </w:r>
      <w:r w:rsidR="00611D45">
        <w:rPr>
          <w:rFonts w:ascii="Times New Roman" w:eastAsia="Calibri" w:hAnsi="Times New Roman" w:cs="Times New Roman"/>
          <w:sz w:val="24"/>
          <w:szCs w:val="24"/>
        </w:rPr>
        <w:t xml:space="preserve"> en tiempo real</w:t>
      </w:r>
      <w:r w:rsidR="000F4394" w:rsidRPr="00F705AB">
        <w:rPr>
          <w:rFonts w:ascii="Times New Roman" w:eastAsia="Calibri" w:hAnsi="Times New Roman" w:cs="Times New Roman"/>
          <w:sz w:val="24"/>
          <w:szCs w:val="24"/>
        </w:rPr>
        <w:t xml:space="preserve"> se determinó la presencia </w:t>
      </w:r>
      <w:r w:rsidR="000F4394">
        <w:rPr>
          <w:rFonts w:ascii="Times New Roman" w:eastAsia="Calibri" w:hAnsi="Times New Roman" w:cs="Times New Roman"/>
          <w:sz w:val="24"/>
          <w:szCs w:val="24"/>
        </w:rPr>
        <w:t xml:space="preserve">o ausencia </w:t>
      </w:r>
      <w:r w:rsidR="000F4394" w:rsidRPr="00F705AB">
        <w:rPr>
          <w:rFonts w:ascii="Times New Roman" w:eastAsia="Calibri" w:hAnsi="Times New Roman" w:cs="Times New Roman"/>
          <w:sz w:val="24"/>
          <w:szCs w:val="24"/>
        </w:rPr>
        <w:t xml:space="preserve">del polimorfismo </w:t>
      </w:r>
      <w:r w:rsidR="00D91783">
        <w:rPr>
          <w:rFonts w:ascii="Times New Roman" w:eastAsia="Calibri" w:hAnsi="Times New Roman" w:cs="Times New Roman"/>
          <w:sz w:val="24"/>
          <w:szCs w:val="24"/>
        </w:rPr>
        <w:t>g.</w:t>
      </w:r>
      <w:r w:rsidR="000F4394" w:rsidRPr="00F705AB">
        <w:rPr>
          <w:rFonts w:ascii="Times New Roman" w:hAnsi="Times New Roman" w:cs="Times New Roman"/>
          <w:sz w:val="24"/>
          <w:szCs w:val="24"/>
        </w:rPr>
        <w:t xml:space="preserve">-174 G/C </w:t>
      </w:r>
      <w:r w:rsidR="000F4394" w:rsidRPr="00F705AB">
        <w:rPr>
          <w:rFonts w:ascii="Times New Roman" w:eastAsia="Calibri" w:hAnsi="Times New Roman" w:cs="Times New Roman"/>
          <w:sz w:val="24"/>
          <w:szCs w:val="24"/>
        </w:rPr>
        <w:t xml:space="preserve">del gen </w:t>
      </w:r>
      <w:r w:rsidR="000F4394" w:rsidRPr="00611D45">
        <w:rPr>
          <w:rFonts w:ascii="Times New Roman" w:eastAsia="Calibri" w:hAnsi="Times New Roman" w:cs="Times New Roman"/>
          <w:i/>
          <w:iCs/>
          <w:sz w:val="24"/>
          <w:szCs w:val="24"/>
        </w:rPr>
        <w:t>IL-6</w:t>
      </w:r>
      <w:r w:rsidR="000F4394" w:rsidRPr="00F705AB">
        <w:rPr>
          <w:rFonts w:ascii="Times New Roman" w:eastAsia="Calibri" w:hAnsi="Times New Roman" w:cs="Times New Roman"/>
          <w:sz w:val="24"/>
          <w:szCs w:val="24"/>
        </w:rPr>
        <w:t>.</w:t>
      </w:r>
    </w:p>
    <w:p w14:paraId="358A183C" w14:textId="3DFB994C" w:rsidR="00F31442" w:rsidRDefault="00C0122A" w:rsidP="004A2C20">
      <w:pPr>
        <w:spacing w:line="360" w:lineRule="auto"/>
        <w:jc w:val="both"/>
        <w:rPr>
          <w:rFonts w:ascii="Times New Roman" w:eastAsia="Calibri" w:hAnsi="Times New Roman" w:cs="Times New Roman"/>
          <w:sz w:val="24"/>
          <w:szCs w:val="24"/>
        </w:rPr>
      </w:pPr>
      <w:r w:rsidRPr="003A5612">
        <w:rPr>
          <w:rFonts w:ascii="Times New Roman" w:eastAsia="Calibri" w:hAnsi="Times New Roman" w:cs="Times New Roman"/>
          <w:b/>
          <w:bCs/>
          <w:sz w:val="24"/>
          <w:szCs w:val="24"/>
        </w:rPr>
        <w:t>Procesamiento</w:t>
      </w:r>
      <w:r w:rsidR="00F31442" w:rsidRPr="003A5612">
        <w:rPr>
          <w:rFonts w:ascii="Times New Roman" w:eastAsia="Calibri" w:hAnsi="Times New Roman" w:cs="Times New Roman"/>
          <w:b/>
          <w:bCs/>
          <w:sz w:val="24"/>
          <w:szCs w:val="24"/>
        </w:rPr>
        <w:t xml:space="preserve"> de ADN</w:t>
      </w:r>
      <w:r w:rsidR="00F31442" w:rsidRPr="003A5612">
        <w:rPr>
          <w:rFonts w:ascii="Times New Roman" w:eastAsia="Calibri" w:hAnsi="Times New Roman" w:cs="Times New Roman"/>
          <w:sz w:val="24"/>
          <w:szCs w:val="24"/>
        </w:rPr>
        <w:t>.</w:t>
      </w:r>
      <w:r w:rsidR="00F31442" w:rsidRPr="00F705AB">
        <w:rPr>
          <w:rFonts w:ascii="Times New Roman" w:eastAsia="Calibri" w:hAnsi="Times New Roman" w:cs="Times New Roman"/>
          <w:sz w:val="24"/>
          <w:szCs w:val="24"/>
        </w:rPr>
        <w:t xml:space="preserve"> Las muestras de sangre obtenidas de los sujetos de estudio fueron utilizadas para la extracción y purificación del </w:t>
      </w:r>
      <w:r w:rsidR="00611D45">
        <w:rPr>
          <w:rFonts w:ascii="Times New Roman" w:eastAsia="Calibri" w:hAnsi="Times New Roman" w:cs="Times New Roman"/>
          <w:sz w:val="24"/>
          <w:szCs w:val="24"/>
        </w:rPr>
        <w:t>A</w:t>
      </w:r>
      <w:r w:rsidR="00F31442" w:rsidRPr="00F705AB">
        <w:rPr>
          <w:rFonts w:ascii="Times New Roman" w:eastAsia="Calibri" w:hAnsi="Times New Roman" w:cs="Times New Roman"/>
          <w:sz w:val="24"/>
          <w:szCs w:val="24"/>
        </w:rPr>
        <w:t>DN medi</w:t>
      </w:r>
      <w:r w:rsidR="00611D45">
        <w:rPr>
          <w:rFonts w:ascii="Times New Roman" w:eastAsia="Calibri" w:hAnsi="Times New Roman" w:cs="Times New Roman"/>
          <w:sz w:val="24"/>
          <w:szCs w:val="24"/>
        </w:rPr>
        <w:t>a</w:t>
      </w:r>
      <w:r w:rsidR="00F31442" w:rsidRPr="00F705AB">
        <w:rPr>
          <w:rFonts w:ascii="Times New Roman" w:eastAsia="Calibri" w:hAnsi="Times New Roman" w:cs="Times New Roman"/>
          <w:sz w:val="24"/>
          <w:szCs w:val="24"/>
        </w:rPr>
        <w:t>nte el kit de extracción D</w:t>
      </w:r>
      <w:r w:rsidR="000F4394">
        <w:rPr>
          <w:rFonts w:ascii="Times New Roman" w:eastAsia="Calibri" w:hAnsi="Times New Roman" w:cs="Times New Roman"/>
          <w:sz w:val="24"/>
          <w:szCs w:val="24"/>
        </w:rPr>
        <w:t>N</w:t>
      </w:r>
      <w:r w:rsidR="00F31442" w:rsidRPr="00F705AB">
        <w:rPr>
          <w:rFonts w:ascii="Times New Roman" w:eastAsia="Calibri" w:hAnsi="Times New Roman" w:cs="Times New Roman"/>
          <w:sz w:val="24"/>
          <w:szCs w:val="24"/>
        </w:rPr>
        <w:t xml:space="preserve">easy blood and tissue (Qiagen). El </w:t>
      </w:r>
      <w:r w:rsidR="00611D45">
        <w:rPr>
          <w:rFonts w:ascii="Times New Roman" w:eastAsia="Calibri" w:hAnsi="Times New Roman" w:cs="Times New Roman"/>
          <w:sz w:val="24"/>
          <w:szCs w:val="24"/>
        </w:rPr>
        <w:t>A</w:t>
      </w:r>
      <w:r w:rsidR="00F31442" w:rsidRPr="00F705AB">
        <w:rPr>
          <w:rFonts w:ascii="Times New Roman" w:eastAsia="Calibri" w:hAnsi="Times New Roman" w:cs="Times New Roman"/>
          <w:sz w:val="24"/>
          <w:szCs w:val="24"/>
        </w:rPr>
        <w:t>DN purificado fue cuantificado y utilizado para determinar el polimorfismo</w:t>
      </w:r>
      <w:r w:rsidR="00611D45">
        <w:rPr>
          <w:rFonts w:ascii="Times New Roman" w:eastAsia="Calibri" w:hAnsi="Times New Roman" w:cs="Times New Roman"/>
          <w:sz w:val="24"/>
          <w:szCs w:val="24"/>
        </w:rPr>
        <w:t xml:space="preserve"> g.</w:t>
      </w:r>
      <w:r w:rsidR="00F31442" w:rsidRPr="00F705AB">
        <w:rPr>
          <w:rFonts w:ascii="Times New Roman" w:eastAsia="Calibri" w:hAnsi="Times New Roman" w:cs="Times New Roman"/>
          <w:sz w:val="24"/>
          <w:szCs w:val="24"/>
        </w:rPr>
        <w:t>-174 G</w:t>
      </w:r>
      <w:r w:rsidR="00611D45">
        <w:rPr>
          <w:rFonts w:ascii="Times New Roman" w:eastAsia="Calibri" w:hAnsi="Times New Roman" w:cs="Times New Roman"/>
          <w:sz w:val="24"/>
          <w:szCs w:val="24"/>
        </w:rPr>
        <w:t>&gt;</w:t>
      </w:r>
      <w:r w:rsidR="00F31442" w:rsidRPr="00F705AB">
        <w:rPr>
          <w:rFonts w:ascii="Times New Roman" w:eastAsia="Calibri" w:hAnsi="Times New Roman" w:cs="Times New Roman"/>
          <w:sz w:val="24"/>
          <w:szCs w:val="24"/>
        </w:rPr>
        <w:t xml:space="preserve">C mediante </w:t>
      </w:r>
      <w:r w:rsidR="00611D45">
        <w:rPr>
          <w:rFonts w:ascii="Times New Roman" w:eastAsia="Calibri" w:hAnsi="Times New Roman" w:cs="Times New Roman"/>
          <w:sz w:val="24"/>
          <w:szCs w:val="24"/>
        </w:rPr>
        <w:t>PCR</w:t>
      </w:r>
      <w:r w:rsidR="00F31442" w:rsidRPr="00F705AB">
        <w:rPr>
          <w:rFonts w:ascii="Times New Roman" w:eastAsia="Calibri" w:hAnsi="Times New Roman" w:cs="Times New Roman"/>
          <w:sz w:val="24"/>
          <w:szCs w:val="24"/>
        </w:rPr>
        <w:t xml:space="preserve"> en tiempo real utilizando </w:t>
      </w:r>
      <w:r w:rsidR="002F2B2B">
        <w:rPr>
          <w:rFonts w:ascii="Times New Roman" w:eastAsia="Calibri" w:hAnsi="Times New Roman" w:cs="Times New Roman"/>
          <w:sz w:val="24"/>
          <w:szCs w:val="24"/>
        </w:rPr>
        <w:t xml:space="preserve">el termociclador </w:t>
      </w:r>
      <w:r w:rsidR="002F2B2B" w:rsidRPr="002F2B2B">
        <w:rPr>
          <w:rFonts w:ascii="Times New Roman" w:eastAsia="Calibri" w:hAnsi="Times New Roman" w:cs="Times New Roman"/>
          <w:sz w:val="24"/>
          <w:szCs w:val="24"/>
          <w:lang w:val="es-ES_tradnl"/>
        </w:rPr>
        <w:t>ECO™ de la marca Ilumina®</w:t>
      </w:r>
      <w:r>
        <w:rPr>
          <w:rFonts w:ascii="Times New Roman" w:eastAsia="Calibri" w:hAnsi="Times New Roman" w:cs="Times New Roman"/>
          <w:sz w:val="24"/>
          <w:szCs w:val="24"/>
          <w:lang w:val="es-ES_tradnl"/>
        </w:rPr>
        <w:t xml:space="preserve"> y las </w:t>
      </w:r>
      <w:r w:rsidR="00F31442" w:rsidRPr="00F705AB">
        <w:rPr>
          <w:rFonts w:ascii="Times New Roman" w:eastAsia="Calibri" w:hAnsi="Times New Roman" w:cs="Times New Roman"/>
          <w:sz w:val="24"/>
          <w:szCs w:val="24"/>
        </w:rPr>
        <w:t>sondas</w:t>
      </w:r>
      <w:r w:rsidR="003A5612">
        <w:rPr>
          <w:rFonts w:ascii="Times New Roman" w:eastAsia="Calibri" w:hAnsi="Times New Roman" w:cs="Times New Roman"/>
          <w:sz w:val="24"/>
          <w:szCs w:val="24"/>
        </w:rPr>
        <w:t xml:space="preserve"> </w:t>
      </w:r>
      <w:r w:rsidR="00117C44">
        <w:rPr>
          <w:rFonts w:ascii="Times New Roman" w:eastAsia="Calibri" w:hAnsi="Times New Roman" w:cs="Times New Roman"/>
          <w:sz w:val="24"/>
          <w:szCs w:val="24"/>
        </w:rPr>
        <w:t xml:space="preserve">tipo </w:t>
      </w:r>
      <w:r w:rsidR="003A5612">
        <w:rPr>
          <w:rFonts w:ascii="Times New Roman" w:eastAsia="Calibri" w:hAnsi="Times New Roman" w:cs="Times New Roman"/>
          <w:sz w:val="24"/>
          <w:szCs w:val="24"/>
        </w:rPr>
        <w:t xml:space="preserve">TaqMan </w:t>
      </w:r>
      <w:r w:rsidR="00117C44">
        <w:rPr>
          <w:rFonts w:ascii="Times New Roman" w:eastAsia="Calibri" w:hAnsi="Times New Roman" w:cs="Times New Roman"/>
          <w:sz w:val="24"/>
          <w:szCs w:val="24"/>
        </w:rPr>
        <w:t xml:space="preserve"> con numero de catalogo </w:t>
      </w:r>
      <w:r w:rsidR="002F2B2B" w:rsidRPr="002F2B2B">
        <w:rPr>
          <w:rFonts w:ascii="Times New Roman" w:eastAsia="Calibri" w:hAnsi="Times New Roman" w:cs="Times New Roman"/>
          <w:sz w:val="24"/>
          <w:szCs w:val="24"/>
          <w:lang w:val="es-ES_tradnl"/>
        </w:rPr>
        <w:t xml:space="preserve">C_1839697_20 </w:t>
      </w:r>
      <w:r w:rsidR="00117C44">
        <w:rPr>
          <w:rFonts w:ascii="Times New Roman" w:eastAsia="Calibri" w:hAnsi="Times New Roman" w:cs="Times New Roman"/>
          <w:sz w:val="24"/>
          <w:szCs w:val="24"/>
          <w:lang w:val="es-ES_tradnl"/>
        </w:rPr>
        <w:t>(</w:t>
      </w:r>
      <w:r w:rsidR="00D1050A">
        <w:rPr>
          <w:rFonts w:ascii="Times New Roman" w:eastAsia="Calibri" w:hAnsi="Times New Roman" w:cs="Times New Roman"/>
          <w:sz w:val="24"/>
          <w:szCs w:val="24"/>
        </w:rPr>
        <w:t>A</w:t>
      </w:r>
      <w:r w:rsidR="00F31442" w:rsidRPr="00F705AB">
        <w:rPr>
          <w:rFonts w:ascii="Times New Roman" w:eastAsia="Calibri" w:hAnsi="Times New Roman" w:cs="Times New Roman"/>
          <w:sz w:val="24"/>
          <w:szCs w:val="24"/>
        </w:rPr>
        <w:t xml:space="preserve">pplied </w:t>
      </w:r>
      <w:r w:rsidR="00D1050A">
        <w:rPr>
          <w:rFonts w:ascii="Times New Roman" w:eastAsia="Calibri" w:hAnsi="Times New Roman" w:cs="Times New Roman"/>
          <w:sz w:val="24"/>
          <w:szCs w:val="24"/>
        </w:rPr>
        <w:t>B</w:t>
      </w:r>
      <w:r w:rsidR="00F31442" w:rsidRPr="00F705AB">
        <w:rPr>
          <w:rFonts w:ascii="Times New Roman" w:eastAsia="Calibri" w:hAnsi="Times New Roman" w:cs="Times New Roman"/>
          <w:sz w:val="24"/>
          <w:szCs w:val="24"/>
        </w:rPr>
        <w:t>iosystem</w:t>
      </w:r>
      <w:r w:rsidR="00D1050A">
        <w:rPr>
          <w:rFonts w:ascii="Times New Roman" w:eastAsia="Calibri" w:hAnsi="Times New Roman" w:cs="Times New Roman"/>
          <w:sz w:val="24"/>
          <w:szCs w:val="24"/>
        </w:rPr>
        <w:t>®</w:t>
      </w:r>
      <w:r w:rsidR="00117C44">
        <w:rPr>
          <w:rFonts w:ascii="Times New Roman" w:eastAsia="Calibri" w:hAnsi="Times New Roman" w:cs="Times New Roman"/>
          <w:sz w:val="24"/>
          <w:szCs w:val="24"/>
        </w:rPr>
        <w:t>)</w:t>
      </w:r>
      <w:r w:rsidR="00D1050A">
        <w:rPr>
          <w:rFonts w:ascii="Times New Roman" w:eastAsia="Calibri" w:hAnsi="Times New Roman" w:cs="Times New Roman"/>
          <w:sz w:val="24"/>
          <w:szCs w:val="24"/>
        </w:rPr>
        <w:t xml:space="preserve">. </w:t>
      </w:r>
      <w:r w:rsidR="00117C44">
        <w:rPr>
          <w:rFonts w:ascii="Times New Roman" w:eastAsia="Calibri" w:hAnsi="Times New Roman" w:cs="Times New Roman"/>
          <w:sz w:val="24"/>
          <w:szCs w:val="24"/>
        </w:rPr>
        <w:t>Las condiciones de la PCR fueron para</w:t>
      </w:r>
      <w:r w:rsidR="002F2B2B">
        <w:rPr>
          <w:rFonts w:ascii="Times New Roman" w:eastAsia="Calibri" w:hAnsi="Times New Roman" w:cs="Times New Roman"/>
          <w:sz w:val="24"/>
          <w:szCs w:val="24"/>
        </w:rPr>
        <w:t xml:space="preserve"> la activación de la polimerasa a 95°C por 5 minutos</w:t>
      </w:r>
      <w:r>
        <w:rPr>
          <w:rFonts w:ascii="Times New Roman" w:eastAsia="Calibri" w:hAnsi="Times New Roman" w:cs="Times New Roman"/>
          <w:sz w:val="24"/>
          <w:szCs w:val="24"/>
        </w:rPr>
        <w:t xml:space="preserve"> y</w:t>
      </w:r>
      <w:r w:rsidR="002F2B2B">
        <w:rPr>
          <w:rFonts w:ascii="Times New Roman" w:eastAsia="Calibri" w:hAnsi="Times New Roman" w:cs="Times New Roman"/>
          <w:sz w:val="24"/>
          <w:szCs w:val="24"/>
        </w:rPr>
        <w:t xml:space="preserve"> 40 ciclos de</w:t>
      </w:r>
      <w:r>
        <w:rPr>
          <w:rFonts w:ascii="Times New Roman" w:eastAsia="Calibri" w:hAnsi="Times New Roman" w:cs="Times New Roman"/>
          <w:sz w:val="24"/>
          <w:szCs w:val="24"/>
        </w:rPr>
        <w:t xml:space="preserve">: </w:t>
      </w:r>
      <w:r w:rsidR="002F2B2B">
        <w:rPr>
          <w:rFonts w:ascii="Times New Roman" w:eastAsia="Calibri" w:hAnsi="Times New Roman" w:cs="Times New Roman"/>
          <w:sz w:val="24"/>
          <w:szCs w:val="24"/>
        </w:rPr>
        <w:t>desnaturalización a 95°C por 15 segundos y alineación/extensión a 60°C por 30 segundos</w:t>
      </w:r>
      <w:r>
        <w:rPr>
          <w:rFonts w:ascii="Times New Roman" w:eastAsia="Calibri" w:hAnsi="Times New Roman" w:cs="Times New Roman"/>
          <w:sz w:val="24"/>
          <w:szCs w:val="24"/>
        </w:rPr>
        <w:t xml:space="preserve">. </w:t>
      </w:r>
      <w:r w:rsidR="00D1050A">
        <w:rPr>
          <w:rFonts w:ascii="Times New Roman" w:eastAsia="Calibri" w:hAnsi="Times New Roman" w:cs="Times New Roman"/>
          <w:sz w:val="24"/>
          <w:szCs w:val="24"/>
        </w:rPr>
        <w:t>En la</w:t>
      </w:r>
      <w:r w:rsidR="00F31442" w:rsidRPr="00F705AB">
        <w:rPr>
          <w:rFonts w:ascii="Times New Roman" w:eastAsia="Calibri" w:hAnsi="Times New Roman" w:cs="Times New Roman"/>
          <w:sz w:val="24"/>
          <w:szCs w:val="24"/>
        </w:rPr>
        <w:t xml:space="preserve"> </w:t>
      </w:r>
      <w:r w:rsidR="00F31442">
        <w:rPr>
          <w:rFonts w:ascii="Times New Roman" w:eastAsia="Calibri" w:hAnsi="Times New Roman" w:cs="Times New Roman"/>
          <w:sz w:val="24"/>
          <w:szCs w:val="24"/>
        </w:rPr>
        <w:t>tabla 1</w:t>
      </w:r>
      <w:r w:rsidR="00D1050A">
        <w:rPr>
          <w:rFonts w:ascii="Times New Roman" w:eastAsia="Calibri" w:hAnsi="Times New Roman" w:cs="Times New Roman"/>
          <w:sz w:val="24"/>
          <w:szCs w:val="24"/>
        </w:rPr>
        <w:t xml:space="preserve"> se describen los componentes de la mezcla de reacción utilizada</w:t>
      </w:r>
      <w:r w:rsidR="00F31442">
        <w:rPr>
          <w:rFonts w:ascii="Times New Roman" w:eastAsia="Calibri" w:hAnsi="Times New Roman" w:cs="Times New Roman"/>
          <w:sz w:val="24"/>
          <w:szCs w:val="24"/>
        </w:rPr>
        <w:t>.</w:t>
      </w:r>
    </w:p>
    <w:p w14:paraId="7834C5EF" w14:textId="1B9A4D0D" w:rsidR="001E5CE1" w:rsidRDefault="001E5CE1" w:rsidP="004A2C20">
      <w:pPr>
        <w:spacing w:line="360" w:lineRule="auto"/>
        <w:jc w:val="both"/>
        <w:rPr>
          <w:rFonts w:ascii="Times New Roman" w:eastAsia="Calibri" w:hAnsi="Times New Roman" w:cs="Times New Roman"/>
          <w:sz w:val="24"/>
          <w:szCs w:val="24"/>
        </w:rPr>
      </w:pPr>
    </w:p>
    <w:p w14:paraId="098A9C81" w14:textId="25A2BDDB" w:rsidR="001E5CE1" w:rsidRDefault="001E5CE1" w:rsidP="004A2C20">
      <w:pPr>
        <w:spacing w:line="360" w:lineRule="auto"/>
        <w:jc w:val="both"/>
        <w:rPr>
          <w:rFonts w:ascii="Times New Roman" w:eastAsia="Calibri" w:hAnsi="Times New Roman" w:cs="Times New Roman"/>
          <w:sz w:val="24"/>
          <w:szCs w:val="24"/>
        </w:rPr>
      </w:pPr>
    </w:p>
    <w:p w14:paraId="6F5A4EDA" w14:textId="77777777" w:rsidR="001E5CE1" w:rsidRDefault="001E5CE1" w:rsidP="004A2C20">
      <w:pPr>
        <w:spacing w:line="360" w:lineRule="auto"/>
        <w:jc w:val="both"/>
        <w:rPr>
          <w:rFonts w:ascii="Times New Roman" w:eastAsia="Calibri" w:hAnsi="Times New Roman" w:cs="Times New Roman"/>
          <w:sz w:val="24"/>
          <w:szCs w:val="24"/>
        </w:rPr>
      </w:pPr>
    </w:p>
    <w:p w14:paraId="6F8B33A6" w14:textId="77777777" w:rsidR="001E5CE1" w:rsidRPr="00054637" w:rsidRDefault="00F31442" w:rsidP="00B7396F">
      <w:pPr>
        <w:ind w:right="616"/>
        <w:jc w:val="center"/>
        <w:rPr>
          <w:rFonts w:ascii="Times New Roman" w:hAnsi="Times New Roman" w:cs="Times New Roman"/>
          <w:i/>
          <w:iCs/>
          <w:sz w:val="24"/>
          <w:szCs w:val="24"/>
          <w:lang w:val="es-ES_tradnl"/>
        </w:rPr>
      </w:pPr>
      <w:r w:rsidRPr="00054637">
        <w:rPr>
          <w:rFonts w:ascii="Times New Roman" w:hAnsi="Times New Roman" w:cs="Times New Roman"/>
          <w:sz w:val="24"/>
          <w:szCs w:val="24"/>
        </w:rPr>
        <w:lastRenderedPageBreak/>
        <w:t>Tabla 1: Componentes y volumen para la reacción final de PCR</w:t>
      </w:r>
      <w:r w:rsidR="006025F3" w:rsidRPr="00054637">
        <w:rPr>
          <w:rFonts w:ascii="Times New Roman" w:hAnsi="Times New Roman" w:cs="Times New Roman"/>
          <w:sz w:val="24"/>
          <w:szCs w:val="24"/>
        </w:rPr>
        <w:t xml:space="preserve"> en tiempo real</w:t>
      </w:r>
      <w:r w:rsidRPr="00054637">
        <w:rPr>
          <w:rFonts w:ascii="Times New Roman" w:hAnsi="Times New Roman" w:cs="Times New Roman"/>
          <w:sz w:val="24"/>
          <w:szCs w:val="24"/>
        </w:rPr>
        <w:t xml:space="preserve"> para la determinación del polimorfismo </w:t>
      </w:r>
      <w:r w:rsidRPr="00054637">
        <w:rPr>
          <w:rFonts w:ascii="Times New Roman" w:hAnsi="Times New Roman" w:cs="Times New Roman"/>
          <w:sz w:val="24"/>
          <w:szCs w:val="24"/>
          <w:lang w:val="es-ES_tradnl"/>
        </w:rPr>
        <w:t xml:space="preserve">-174 G/C del gen </w:t>
      </w:r>
      <w:r w:rsidRPr="00054637">
        <w:rPr>
          <w:rFonts w:ascii="Times New Roman" w:hAnsi="Times New Roman" w:cs="Times New Roman"/>
          <w:i/>
          <w:iCs/>
          <w:sz w:val="24"/>
          <w:szCs w:val="24"/>
          <w:lang w:val="es-ES_tradnl"/>
        </w:rPr>
        <w:t>IL</w:t>
      </w:r>
      <w:r w:rsidR="00921313" w:rsidRPr="00054637">
        <w:rPr>
          <w:rFonts w:ascii="Times New Roman" w:hAnsi="Times New Roman" w:cs="Times New Roman"/>
          <w:i/>
          <w:iCs/>
          <w:sz w:val="24"/>
          <w:szCs w:val="24"/>
          <w:lang w:val="es-ES_tradnl"/>
        </w:rPr>
        <w:t>-</w:t>
      </w:r>
      <w:r w:rsidRPr="00054637">
        <w:rPr>
          <w:rFonts w:ascii="Times New Roman" w:hAnsi="Times New Roman" w:cs="Times New Roman"/>
          <w:i/>
          <w:iCs/>
          <w:sz w:val="24"/>
          <w:szCs w:val="24"/>
          <w:lang w:val="es-ES_tradnl"/>
        </w:rPr>
        <w:t>6</w:t>
      </w:r>
      <w:r w:rsidR="00921313" w:rsidRPr="00054637">
        <w:rPr>
          <w:rFonts w:ascii="Times New Roman" w:hAnsi="Times New Roman" w:cs="Times New Roman"/>
          <w:i/>
          <w:iCs/>
          <w:sz w:val="24"/>
          <w:szCs w:val="24"/>
          <w:lang w:val="es-ES_tradnl"/>
        </w:rPr>
        <w:t>.</w:t>
      </w:r>
    </w:p>
    <w:tbl>
      <w:tblPr>
        <w:tblStyle w:val="Tablaconcuadrculaclar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244"/>
        <w:gridCol w:w="2725"/>
      </w:tblGrid>
      <w:tr w:rsidR="001E5CE1" w:rsidRPr="00B401F1" w14:paraId="1ACD464F" w14:textId="77777777" w:rsidTr="00126893">
        <w:trPr>
          <w:trHeight w:val="20"/>
          <w:jc w:val="center"/>
        </w:trPr>
        <w:tc>
          <w:tcPr>
            <w:tcW w:w="3261" w:type="dxa"/>
            <w:tcBorders>
              <w:top w:val="single" w:sz="18" w:space="0" w:color="auto"/>
              <w:bottom w:val="single" w:sz="18" w:space="0" w:color="auto"/>
            </w:tcBorders>
            <w:vAlign w:val="center"/>
            <w:hideMark/>
          </w:tcPr>
          <w:p w14:paraId="4A4958BF" w14:textId="77777777" w:rsidR="001E5CE1" w:rsidRPr="00D91783" w:rsidRDefault="001E5CE1" w:rsidP="00126893">
            <w:pPr>
              <w:spacing w:after="0" w:line="240" w:lineRule="auto"/>
              <w:jc w:val="center"/>
              <w:rPr>
                <w:rFonts w:ascii="Times New Roman" w:hAnsi="Times New Roman" w:cs="Times New Roman"/>
                <w:b/>
                <w:sz w:val="24"/>
                <w:szCs w:val="24"/>
              </w:rPr>
            </w:pPr>
            <w:r w:rsidRPr="00D91783">
              <w:rPr>
                <w:rFonts w:ascii="Times New Roman" w:hAnsi="Times New Roman" w:cs="Times New Roman"/>
                <w:b/>
                <w:sz w:val="24"/>
                <w:szCs w:val="24"/>
              </w:rPr>
              <w:t>Componentes</w:t>
            </w:r>
          </w:p>
        </w:tc>
        <w:tc>
          <w:tcPr>
            <w:tcW w:w="1244" w:type="dxa"/>
            <w:tcBorders>
              <w:top w:val="single" w:sz="18" w:space="0" w:color="auto"/>
              <w:left w:val="nil"/>
              <w:bottom w:val="single" w:sz="18" w:space="0" w:color="auto"/>
            </w:tcBorders>
            <w:vAlign w:val="center"/>
            <w:hideMark/>
          </w:tcPr>
          <w:p w14:paraId="7ADE7186" w14:textId="77777777" w:rsidR="001E5CE1" w:rsidRDefault="001E5CE1" w:rsidP="00126893">
            <w:pPr>
              <w:spacing w:after="0" w:line="240" w:lineRule="auto"/>
              <w:jc w:val="center"/>
              <w:rPr>
                <w:rFonts w:ascii="Times New Roman" w:hAnsi="Times New Roman" w:cs="Times New Roman"/>
                <w:b/>
                <w:bCs/>
                <w:sz w:val="24"/>
                <w:szCs w:val="24"/>
              </w:rPr>
            </w:pPr>
            <w:r w:rsidRPr="00D91783">
              <w:rPr>
                <w:rFonts w:ascii="Times New Roman" w:hAnsi="Times New Roman" w:cs="Times New Roman"/>
                <w:b/>
                <w:bCs/>
                <w:sz w:val="24"/>
                <w:szCs w:val="24"/>
              </w:rPr>
              <w:t>Volumen</w:t>
            </w:r>
          </w:p>
          <w:p w14:paraId="42B60F3A" w14:textId="77777777" w:rsidR="001E5CE1" w:rsidRPr="00D91783" w:rsidRDefault="001E5CE1" w:rsidP="00126893">
            <w:pPr>
              <w:spacing w:after="0" w:line="240" w:lineRule="auto"/>
              <w:jc w:val="center"/>
              <w:rPr>
                <w:rFonts w:ascii="Times New Roman" w:hAnsi="Times New Roman" w:cs="Times New Roman"/>
                <w:sz w:val="24"/>
                <w:szCs w:val="24"/>
              </w:rPr>
            </w:pPr>
            <w:r w:rsidRPr="00D91783">
              <w:rPr>
                <w:rFonts w:ascii="Times New Roman" w:hAnsi="Times New Roman" w:cs="Times New Roman"/>
                <w:sz w:val="24"/>
                <w:szCs w:val="24"/>
              </w:rPr>
              <w:t>(μL)</w:t>
            </w:r>
          </w:p>
        </w:tc>
        <w:tc>
          <w:tcPr>
            <w:tcW w:w="2725" w:type="dxa"/>
            <w:tcBorders>
              <w:top w:val="single" w:sz="18" w:space="0" w:color="auto"/>
              <w:left w:val="nil"/>
              <w:bottom w:val="single" w:sz="18" w:space="0" w:color="auto"/>
            </w:tcBorders>
            <w:vAlign w:val="center"/>
            <w:hideMark/>
          </w:tcPr>
          <w:p w14:paraId="5D72ED20" w14:textId="77777777" w:rsidR="001E5CE1" w:rsidRDefault="001E5CE1" w:rsidP="00126893">
            <w:pPr>
              <w:spacing w:after="0" w:line="240" w:lineRule="auto"/>
              <w:jc w:val="center"/>
              <w:rPr>
                <w:rFonts w:ascii="Times New Roman" w:hAnsi="Times New Roman" w:cs="Times New Roman"/>
                <w:b/>
                <w:bCs/>
                <w:sz w:val="24"/>
                <w:szCs w:val="24"/>
              </w:rPr>
            </w:pPr>
            <w:r w:rsidRPr="00D91783">
              <w:rPr>
                <w:rFonts w:ascii="Times New Roman" w:hAnsi="Times New Roman" w:cs="Times New Roman"/>
                <w:b/>
                <w:bCs/>
                <w:sz w:val="24"/>
                <w:szCs w:val="24"/>
              </w:rPr>
              <w:t>Concentración</w:t>
            </w:r>
          </w:p>
          <w:p w14:paraId="1CFFC24A" w14:textId="77777777" w:rsidR="001E5CE1" w:rsidRPr="00D91783" w:rsidRDefault="001E5CE1" w:rsidP="00126893">
            <w:pPr>
              <w:spacing w:after="0" w:line="240" w:lineRule="auto"/>
              <w:jc w:val="center"/>
              <w:rPr>
                <w:rFonts w:ascii="Times New Roman" w:hAnsi="Times New Roman" w:cs="Times New Roman"/>
                <w:b/>
                <w:bCs/>
                <w:sz w:val="24"/>
                <w:szCs w:val="24"/>
              </w:rPr>
            </w:pPr>
            <w:r w:rsidRPr="00D91783">
              <w:rPr>
                <w:rFonts w:ascii="Times New Roman" w:hAnsi="Times New Roman" w:cs="Times New Roman"/>
                <w:b/>
                <w:bCs/>
                <w:sz w:val="24"/>
                <w:szCs w:val="24"/>
              </w:rPr>
              <w:t>final</w:t>
            </w:r>
          </w:p>
        </w:tc>
      </w:tr>
      <w:tr w:rsidR="001E5CE1" w:rsidRPr="00B401F1" w14:paraId="1E40018E" w14:textId="77777777" w:rsidTr="00126893">
        <w:trPr>
          <w:trHeight w:val="20"/>
          <w:jc w:val="center"/>
        </w:trPr>
        <w:tc>
          <w:tcPr>
            <w:tcW w:w="3261" w:type="dxa"/>
            <w:tcBorders>
              <w:top w:val="single" w:sz="18" w:space="0" w:color="auto"/>
              <w:bottom w:val="single" w:sz="4" w:space="0" w:color="auto"/>
            </w:tcBorders>
            <w:hideMark/>
          </w:tcPr>
          <w:p w14:paraId="500F0BBB" w14:textId="77777777" w:rsidR="001E5CE1" w:rsidRPr="00D91783" w:rsidRDefault="001E5CE1" w:rsidP="00126893">
            <w:pPr>
              <w:spacing w:after="0" w:line="240" w:lineRule="auto"/>
              <w:rPr>
                <w:rFonts w:ascii="Times New Roman" w:hAnsi="Times New Roman" w:cs="Times New Roman"/>
                <w:sz w:val="24"/>
                <w:szCs w:val="24"/>
                <w:lang w:val="en-US"/>
              </w:rPr>
            </w:pPr>
            <w:r w:rsidRPr="00D91783">
              <w:rPr>
                <w:rFonts w:ascii="Times New Roman" w:hAnsi="Times New Roman" w:cs="Times New Roman"/>
                <w:bCs/>
                <w:sz w:val="24"/>
                <w:szCs w:val="24"/>
                <w:lang w:val="en-US"/>
              </w:rPr>
              <w:t>Type-it Fast SNP Probe PCR Master Mix 2x</w:t>
            </w:r>
          </w:p>
        </w:tc>
        <w:tc>
          <w:tcPr>
            <w:tcW w:w="1244" w:type="dxa"/>
            <w:tcBorders>
              <w:top w:val="single" w:sz="18" w:space="0" w:color="auto"/>
              <w:left w:val="nil"/>
              <w:bottom w:val="single" w:sz="4" w:space="0" w:color="auto"/>
            </w:tcBorders>
            <w:hideMark/>
          </w:tcPr>
          <w:p w14:paraId="6C41E643" w14:textId="77777777" w:rsidR="001E5CE1" w:rsidRPr="00D91783" w:rsidRDefault="001E5CE1" w:rsidP="00126893">
            <w:pPr>
              <w:spacing w:after="0" w:line="240" w:lineRule="auto"/>
              <w:jc w:val="center"/>
              <w:rPr>
                <w:rFonts w:ascii="Times New Roman" w:hAnsi="Times New Roman" w:cs="Times New Roman"/>
                <w:sz w:val="24"/>
                <w:szCs w:val="24"/>
              </w:rPr>
            </w:pPr>
            <w:r w:rsidRPr="00D91783">
              <w:rPr>
                <w:rFonts w:ascii="Times New Roman" w:hAnsi="Times New Roman" w:cs="Times New Roman"/>
                <w:sz w:val="24"/>
                <w:szCs w:val="24"/>
              </w:rPr>
              <w:t>5</w:t>
            </w:r>
          </w:p>
        </w:tc>
        <w:tc>
          <w:tcPr>
            <w:tcW w:w="2725" w:type="dxa"/>
            <w:tcBorders>
              <w:top w:val="single" w:sz="18" w:space="0" w:color="auto"/>
              <w:left w:val="nil"/>
              <w:bottom w:val="single" w:sz="4" w:space="0" w:color="auto"/>
            </w:tcBorders>
            <w:hideMark/>
          </w:tcPr>
          <w:p w14:paraId="372B96AB" w14:textId="77777777" w:rsidR="001E5CE1" w:rsidRPr="00D91783" w:rsidRDefault="001E5CE1" w:rsidP="00126893">
            <w:pPr>
              <w:spacing w:after="0" w:line="240" w:lineRule="auto"/>
              <w:jc w:val="center"/>
              <w:rPr>
                <w:rFonts w:ascii="Times New Roman" w:hAnsi="Times New Roman" w:cs="Times New Roman"/>
                <w:sz w:val="24"/>
                <w:szCs w:val="24"/>
              </w:rPr>
            </w:pPr>
            <w:r w:rsidRPr="00D91783">
              <w:rPr>
                <w:rFonts w:ascii="Times New Roman" w:hAnsi="Times New Roman" w:cs="Times New Roman"/>
                <w:sz w:val="24"/>
                <w:szCs w:val="24"/>
              </w:rPr>
              <w:t>1x</w:t>
            </w:r>
          </w:p>
        </w:tc>
      </w:tr>
      <w:tr w:rsidR="001E5CE1" w:rsidRPr="00B401F1" w14:paraId="697D67C3" w14:textId="77777777" w:rsidTr="00126893">
        <w:trPr>
          <w:trHeight w:val="20"/>
          <w:jc w:val="center"/>
        </w:trPr>
        <w:tc>
          <w:tcPr>
            <w:tcW w:w="3261" w:type="dxa"/>
            <w:tcBorders>
              <w:top w:val="single" w:sz="4" w:space="0" w:color="auto"/>
              <w:bottom w:val="single" w:sz="4" w:space="0" w:color="auto"/>
            </w:tcBorders>
            <w:hideMark/>
          </w:tcPr>
          <w:p w14:paraId="1888597D" w14:textId="77777777" w:rsidR="001E5CE1" w:rsidRPr="00D91783" w:rsidRDefault="001E5CE1" w:rsidP="00126893">
            <w:pPr>
              <w:spacing w:after="0" w:line="240" w:lineRule="auto"/>
              <w:rPr>
                <w:rFonts w:ascii="Times New Roman" w:hAnsi="Times New Roman" w:cs="Times New Roman"/>
                <w:sz w:val="24"/>
                <w:szCs w:val="24"/>
              </w:rPr>
            </w:pPr>
            <w:r w:rsidRPr="00D91783">
              <w:rPr>
                <w:rFonts w:ascii="Times New Roman" w:hAnsi="Times New Roman" w:cs="Times New Roman"/>
                <w:bCs/>
                <w:sz w:val="24"/>
                <w:szCs w:val="24"/>
              </w:rPr>
              <w:t>20x sonda-primer mix</w:t>
            </w:r>
          </w:p>
        </w:tc>
        <w:tc>
          <w:tcPr>
            <w:tcW w:w="1244" w:type="dxa"/>
            <w:tcBorders>
              <w:top w:val="single" w:sz="4" w:space="0" w:color="auto"/>
              <w:left w:val="nil"/>
              <w:bottom w:val="single" w:sz="4" w:space="0" w:color="auto"/>
            </w:tcBorders>
            <w:hideMark/>
          </w:tcPr>
          <w:p w14:paraId="41DDCD07" w14:textId="77777777" w:rsidR="001E5CE1" w:rsidRPr="00D91783" w:rsidRDefault="001E5CE1" w:rsidP="00126893">
            <w:pPr>
              <w:spacing w:after="0" w:line="240" w:lineRule="auto"/>
              <w:jc w:val="center"/>
              <w:rPr>
                <w:rFonts w:ascii="Times New Roman" w:hAnsi="Times New Roman" w:cs="Times New Roman"/>
                <w:sz w:val="24"/>
                <w:szCs w:val="24"/>
              </w:rPr>
            </w:pPr>
            <w:r w:rsidRPr="00D91783">
              <w:rPr>
                <w:rFonts w:ascii="Times New Roman" w:hAnsi="Times New Roman" w:cs="Times New Roman"/>
                <w:sz w:val="24"/>
                <w:szCs w:val="24"/>
              </w:rPr>
              <w:t>0.2</w:t>
            </w:r>
          </w:p>
        </w:tc>
        <w:tc>
          <w:tcPr>
            <w:tcW w:w="2725" w:type="dxa"/>
            <w:tcBorders>
              <w:top w:val="single" w:sz="4" w:space="0" w:color="auto"/>
              <w:left w:val="nil"/>
              <w:bottom w:val="single" w:sz="4" w:space="0" w:color="auto"/>
            </w:tcBorders>
            <w:hideMark/>
          </w:tcPr>
          <w:p w14:paraId="750F5D5B" w14:textId="77777777" w:rsidR="001E5CE1" w:rsidRPr="00D91783" w:rsidRDefault="001E5CE1" w:rsidP="00126893">
            <w:pPr>
              <w:spacing w:after="0" w:line="240" w:lineRule="auto"/>
              <w:jc w:val="center"/>
              <w:rPr>
                <w:rFonts w:ascii="Times New Roman" w:hAnsi="Times New Roman" w:cs="Times New Roman"/>
                <w:sz w:val="24"/>
                <w:szCs w:val="24"/>
              </w:rPr>
            </w:pPr>
            <w:r w:rsidRPr="00D91783">
              <w:rPr>
                <w:rFonts w:ascii="Times New Roman" w:hAnsi="Times New Roman" w:cs="Times New Roman"/>
                <w:sz w:val="24"/>
                <w:szCs w:val="24"/>
              </w:rPr>
              <w:t>1x, 0.9 μM, 0.2μM sonda</w:t>
            </w:r>
          </w:p>
        </w:tc>
      </w:tr>
      <w:tr w:rsidR="001E5CE1" w:rsidRPr="00B401F1" w14:paraId="1DC27C8A" w14:textId="77777777" w:rsidTr="00126893">
        <w:trPr>
          <w:trHeight w:val="20"/>
          <w:jc w:val="center"/>
        </w:trPr>
        <w:tc>
          <w:tcPr>
            <w:tcW w:w="3261" w:type="dxa"/>
            <w:tcBorders>
              <w:top w:val="single" w:sz="4" w:space="0" w:color="auto"/>
              <w:bottom w:val="single" w:sz="4" w:space="0" w:color="auto"/>
            </w:tcBorders>
            <w:hideMark/>
          </w:tcPr>
          <w:p w14:paraId="0B029FDA" w14:textId="77777777" w:rsidR="001E5CE1" w:rsidRPr="00D91783" w:rsidRDefault="001E5CE1" w:rsidP="00126893">
            <w:pPr>
              <w:spacing w:after="0" w:line="240" w:lineRule="auto"/>
              <w:rPr>
                <w:rFonts w:ascii="Times New Roman" w:hAnsi="Times New Roman" w:cs="Times New Roman"/>
                <w:sz w:val="24"/>
                <w:szCs w:val="24"/>
              </w:rPr>
            </w:pPr>
            <w:r w:rsidRPr="00D91783">
              <w:rPr>
                <w:rFonts w:ascii="Times New Roman" w:hAnsi="Times New Roman" w:cs="Times New Roman"/>
                <w:bCs/>
                <w:sz w:val="24"/>
                <w:szCs w:val="24"/>
              </w:rPr>
              <w:t>Solución Q 5x</w:t>
            </w:r>
          </w:p>
        </w:tc>
        <w:tc>
          <w:tcPr>
            <w:tcW w:w="1244" w:type="dxa"/>
            <w:tcBorders>
              <w:top w:val="single" w:sz="4" w:space="0" w:color="auto"/>
              <w:left w:val="nil"/>
              <w:bottom w:val="single" w:sz="4" w:space="0" w:color="auto"/>
            </w:tcBorders>
            <w:hideMark/>
          </w:tcPr>
          <w:p w14:paraId="7EBB12E8" w14:textId="77777777" w:rsidR="001E5CE1" w:rsidRPr="00D91783" w:rsidRDefault="001E5CE1" w:rsidP="00126893">
            <w:pPr>
              <w:spacing w:after="0" w:line="240" w:lineRule="auto"/>
              <w:jc w:val="center"/>
              <w:rPr>
                <w:rFonts w:ascii="Times New Roman" w:hAnsi="Times New Roman" w:cs="Times New Roman"/>
                <w:sz w:val="24"/>
                <w:szCs w:val="24"/>
              </w:rPr>
            </w:pPr>
            <w:r w:rsidRPr="00D91783">
              <w:rPr>
                <w:rFonts w:ascii="Times New Roman" w:hAnsi="Times New Roman" w:cs="Times New Roman"/>
                <w:sz w:val="24"/>
                <w:szCs w:val="24"/>
              </w:rPr>
              <w:t>1</w:t>
            </w:r>
          </w:p>
        </w:tc>
        <w:tc>
          <w:tcPr>
            <w:tcW w:w="2725" w:type="dxa"/>
            <w:tcBorders>
              <w:top w:val="single" w:sz="4" w:space="0" w:color="auto"/>
              <w:left w:val="nil"/>
              <w:bottom w:val="single" w:sz="4" w:space="0" w:color="auto"/>
            </w:tcBorders>
            <w:hideMark/>
          </w:tcPr>
          <w:p w14:paraId="69D14EA2" w14:textId="77777777" w:rsidR="001E5CE1" w:rsidRPr="00D91783" w:rsidRDefault="001E5CE1" w:rsidP="00126893">
            <w:pPr>
              <w:spacing w:after="0" w:line="240" w:lineRule="auto"/>
              <w:jc w:val="center"/>
              <w:rPr>
                <w:rFonts w:ascii="Times New Roman" w:hAnsi="Times New Roman" w:cs="Times New Roman"/>
                <w:sz w:val="24"/>
                <w:szCs w:val="24"/>
              </w:rPr>
            </w:pPr>
            <w:r w:rsidRPr="00D91783">
              <w:rPr>
                <w:rFonts w:ascii="Times New Roman" w:hAnsi="Times New Roman" w:cs="Times New Roman"/>
                <w:sz w:val="24"/>
                <w:szCs w:val="24"/>
              </w:rPr>
              <w:t>0.5x</w:t>
            </w:r>
          </w:p>
        </w:tc>
      </w:tr>
      <w:tr w:rsidR="001E5CE1" w:rsidRPr="00B401F1" w14:paraId="757A0AFB" w14:textId="77777777" w:rsidTr="00126893">
        <w:trPr>
          <w:trHeight w:val="20"/>
          <w:jc w:val="center"/>
        </w:trPr>
        <w:tc>
          <w:tcPr>
            <w:tcW w:w="3261" w:type="dxa"/>
            <w:tcBorders>
              <w:top w:val="single" w:sz="4" w:space="0" w:color="auto"/>
              <w:bottom w:val="single" w:sz="4" w:space="0" w:color="auto"/>
            </w:tcBorders>
            <w:hideMark/>
          </w:tcPr>
          <w:p w14:paraId="49306BE3" w14:textId="77777777" w:rsidR="001E5CE1" w:rsidRPr="00D91783" w:rsidRDefault="001E5CE1" w:rsidP="00126893">
            <w:pPr>
              <w:spacing w:after="0" w:line="240" w:lineRule="auto"/>
              <w:rPr>
                <w:rFonts w:ascii="Times New Roman" w:hAnsi="Times New Roman" w:cs="Times New Roman"/>
                <w:sz w:val="24"/>
                <w:szCs w:val="24"/>
              </w:rPr>
            </w:pPr>
            <w:r w:rsidRPr="00D91783">
              <w:rPr>
                <w:rFonts w:ascii="Times New Roman" w:hAnsi="Times New Roman" w:cs="Times New Roman"/>
                <w:bCs/>
                <w:sz w:val="24"/>
                <w:szCs w:val="24"/>
              </w:rPr>
              <w:t>Agua libre de RNasas</w:t>
            </w:r>
          </w:p>
        </w:tc>
        <w:tc>
          <w:tcPr>
            <w:tcW w:w="1244" w:type="dxa"/>
            <w:tcBorders>
              <w:top w:val="single" w:sz="4" w:space="0" w:color="auto"/>
              <w:left w:val="nil"/>
              <w:bottom w:val="single" w:sz="4" w:space="0" w:color="auto"/>
            </w:tcBorders>
            <w:hideMark/>
          </w:tcPr>
          <w:p w14:paraId="61A7AE51" w14:textId="77777777" w:rsidR="001E5CE1" w:rsidRPr="00D91783" w:rsidRDefault="001E5CE1" w:rsidP="00126893">
            <w:pPr>
              <w:spacing w:after="0" w:line="240" w:lineRule="auto"/>
              <w:jc w:val="center"/>
              <w:rPr>
                <w:rFonts w:ascii="Times New Roman" w:hAnsi="Times New Roman" w:cs="Times New Roman"/>
                <w:sz w:val="24"/>
                <w:szCs w:val="24"/>
              </w:rPr>
            </w:pPr>
            <w:r w:rsidRPr="00D91783">
              <w:rPr>
                <w:rFonts w:ascii="Times New Roman" w:hAnsi="Times New Roman" w:cs="Times New Roman"/>
                <w:sz w:val="24"/>
                <w:szCs w:val="24"/>
              </w:rPr>
              <w:t>2.8</w:t>
            </w:r>
          </w:p>
        </w:tc>
        <w:tc>
          <w:tcPr>
            <w:tcW w:w="2725" w:type="dxa"/>
            <w:tcBorders>
              <w:top w:val="single" w:sz="4" w:space="0" w:color="auto"/>
              <w:left w:val="nil"/>
              <w:bottom w:val="single" w:sz="4" w:space="0" w:color="auto"/>
            </w:tcBorders>
            <w:hideMark/>
          </w:tcPr>
          <w:p w14:paraId="78D744DF" w14:textId="77777777" w:rsidR="001E5CE1" w:rsidRPr="00D91783" w:rsidRDefault="001E5CE1" w:rsidP="00126893">
            <w:pPr>
              <w:spacing w:after="0" w:line="240" w:lineRule="auto"/>
              <w:jc w:val="center"/>
              <w:rPr>
                <w:rFonts w:ascii="Times New Roman" w:hAnsi="Times New Roman" w:cs="Times New Roman"/>
                <w:sz w:val="24"/>
                <w:szCs w:val="24"/>
              </w:rPr>
            </w:pPr>
            <w:r w:rsidRPr="00D91783">
              <w:rPr>
                <w:rFonts w:ascii="Times New Roman" w:hAnsi="Times New Roman" w:cs="Times New Roman"/>
                <w:sz w:val="24"/>
                <w:szCs w:val="24"/>
              </w:rPr>
              <w:t>-</w:t>
            </w:r>
          </w:p>
        </w:tc>
      </w:tr>
      <w:tr w:rsidR="001E5CE1" w:rsidRPr="00B401F1" w14:paraId="49E68011" w14:textId="77777777" w:rsidTr="00126893">
        <w:trPr>
          <w:trHeight w:val="20"/>
          <w:jc w:val="center"/>
        </w:trPr>
        <w:tc>
          <w:tcPr>
            <w:tcW w:w="3261" w:type="dxa"/>
            <w:tcBorders>
              <w:top w:val="single" w:sz="4" w:space="0" w:color="auto"/>
              <w:bottom w:val="single" w:sz="4" w:space="0" w:color="auto"/>
            </w:tcBorders>
            <w:hideMark/>
          </w:tcPr>
          <w:p w14:paraId="660435A5" w14:textId="77777777" w:rsidR="001E5CE1" w:rsidRPr="00D91783" w:rsidRDefault="001E5CE1" w:rsidP="00126893">
            <w:pPr>
              <w:spacing w:after="0" w:line="240" w:lineRule="auto"/>
              <w:rPr>
                <w:rFonts w:ascii="Times New Roman" w:hAnsi="Times New Roman" w:cs="Times New Roman"/>
                <w:sz w:val="24"/>
                <w:szCs w:val="24"/>
              </w:rPr>
            </w:pPr>
            <w:r w:rsidRPr="00D91783">
              <w:rPr>
                <w:rFonts w:ascii="Times New Roman" w:hAnsi="Times New Roman" w:cs="Times New Roman"/>
                <w:bCs/>
                <w:sz w:val="24"/>
                <w:szCs w:val="24"/>
              </w:rPr>
              <w:t>ADN</w:t>
            </w:r>
          </w:p>
        </w:tc>
        <w:tc>
          <w:tcPr>
            <w:tcW w:w="1244" w:type="dxa"/>
            <w:tcBorders>
              <w:top w:val="single" w:sz="4" w:space="0" w:color="auto"/>
              <w:left w:val="nil"/>
              <w:bottom w:val="single" w:sz="4" w:space="0" w:color="auto"/>
            </w:tcBorders>
            <w:hideMark/>
          </w:tcPr>
          <w:p w14:paraId="4A8ADB86" w14:textId="77777777" w:rsidR="001E5CE1" w:rsidRPr="00D91783" w:rsidRDefault="001E5CE1" w:rsidP="00126893">
            <w:pPr>
              <w:spacing w:after="0" w:line="240" w:lineRule="auto"/>
              <w:jc w:val="center"/>
              <w:rPr>
                <w:rFonts w:ascii="Times New Roman" w:hAnsi="Times New Roman" w:cs="Times New Roman"/>
                <w:sz w:val="24"/>
                <w:szCs w:val="24"/>
              </w:rPr>
            </w:pPr>
            <w:r w:rsidRPr="00D91783">
              <w:rPr>
                <w:rFonts w:ascii="Times New Roman" w:hAnsi="Times New Roman" w:cs="Times New Roman"/>
                <w:sz w:val="24"/>
                <w:szCs w:val="24"/>
              </w:rPr>
              <w:t>1</w:t>
            </w:r>
          </w:p>
        </w:tc>
        <w:tc>
          <w:tcPr>
            <w:tcW w:w="2725" w:type="dxa"/>
            <w:tcBorders>
              <w:top w:val="single" w:sz="4" w:space="0" w:color="auto"/>
              <w:left w:val="nil"/>
              <w:bottom w:val="single" w:sz="4" w:space="0" w:color="auto"/>
            </w:tcBorders>
            <w:hideMark/>
          </w:tcPr>
          <w:p w14:paraId="4C1482B0" w14:textId="77777777" w:rsidR="001E5CE1" w:rsidRPr="00D91783" w:rsidRDefault="001E5CE1" w:rsidP="00126893">
            <w:pPr>
              <w:spacing w:after="0" w:line="240" w:lineRule="auto"/>
              <w:jc w:val="center"/>
              <w:rPr>
                <w:rFonts w:ascii="Times New Roman" w:hAnsi="Times New Roman" w:cs="Times New Roman"/>
                <w:sz w:val="24"/>
                <w:szCs w:val="24"/>
              </w:rPr>
            </w:pPr>
            <w:r w:rsidRPr="00D91783">
              <w:rPr>
                <w:rFonts w:ascii="Times New Roman" w:hAnsi="Times New Roman" w:cs="Times New Roman"/>
                <w:sz w:val="24"/>
                <w:szCs w:val="24"/>
              </w:rPr>
              <w:t>35 ng</w:t>
            </w:r>
          </w:p>
        </w:tc>
      </w:tr>
      <w:tr w:rsidR="001E5CE1" w:rsidRPr="00B401F1" w14:paraId="7177DDAD" w14:textId="77777777" w:rsidTr="00126893">
        <w:trPr>
          <w:trHeight w:val="20"/>
          <w:jc w:val="center"/>
        </w:trPr>
        <w:tc>
          <w:tcPr>
            <w:tcW w:w="3261" w:type="dxa"/>
            <w:tcBorders>
              <w:top w:val="single" w:sz="4" w:space="0" w:color="auto"/>
              <w:bottom w:val="single" w:sz="4" w:space="0" w:color="auto"/>
            </w:tcBorders>
            <w:hideMark/>
          </w:tcPr>
          <w:p w14:paraId="2ACBD5C2" w14:textId="77777777" w:rsidR="001E5CE1" w:rsidRPr="00D91783" w:rsidRDefault="001E5CE1" w:rsidP="00126893">
            <w:pPr>
              <w:spacing w:after="0" w:line="240" w:lineRule="auto"/>
              <w:rPr>
                <w:rFonts w:ascii="Times New Roman" w:hAnsi="Times New Roman" w:cs="Times New Roman"/>
                <w:sz w:val="24"/>
                <w:szCs w:val="24"/>
              </w:rPr>
            </w:pPr>
            <w:r w:rsidRPr="00D91783">
              <w:rPr>
                <w:rFonts w:ascii="Times New Roman" w:hAnsi="Times New Roman" w:cs="Times New Roman"/>
                <w:bCs/>
                <w:sz w:val="24"/>
                <w:szCs w:val="24"/>
              </w:rPr>
              <w:t>Volumen final de reacción </w:t>
            </w:r>
          </w:p>
        </w:tc>
        <w:tc>
          <w:tcPr>
            <w:tcW w:w="1244" w:type="dxa"/>
            <w:tcBorders>
              <w:top w:val="single" w:sz="4" w:space="0" w:color="auto"/>
              <w:left w:val="nil"/>
              <w:bottom w:val="single" w:sz="4" w:space="0" w:color="auto"/>
            </w:tcBorders>
            <w:hideMark/>
          </w:tcPr>
          <w:p w14:paraId="68D43530" w14:textId="77777777" w:rsidR="001E5CE1" w:rsidRPr="00D91783" w:rsidRDefault="001E5CE1" w:rsidP="00126893">
            <w:pPr>
              <w:spacing w:after="0" w:line="240" w:lineRule="auto"/>
              <w:jc w:val="center"/>
              <w:rPr>
                <w:rFonts w:ascii="Times New Roman" w:hAnsi="Times New Roman" w:cs="Times New Roman"/>
                <w:sz w:val="24"/>
                <w:szCs w:val="24"/>
              </w:rPr>
            </w:pPr>
            <w:r w:rsidRPr="00D91783">
              <w:rPr>
                <w:rFonts w:ascii="Times New Roman" w:hAnsi="Times New Roman" w:cs="Times New Roman"/>
                <w:bCs/>
                <w:sz w:val="24"/>
                <w:szCs w:val="24"/>
              </w:rPr>
              <w:t>10</w:t>
            </w:r>
          </w:p>
        </w:tc>
        <w:tc>
          <w:tcPr>
            <w:tcW w:w="2725" w:type="dxa"/>
            <w:tcBorders>
              <w:top w:val="single" w:sz="4" w:space="0" w:color="auto"/>
              <w:left w:val="nil"/>
              <w:bottom w:val="single" w:sz="4" w:space="0" w:color="auto"/>
            </w:tcBorders>
            <w:hideMark/>
          </w:tcPr>
          <w:p w14:paraId="300957BE" w14:textId="77777777" w:rsidR="001E5CE1" w:rsidRPr="00D91783" w:rsidRDefault="001E5CE1" w:rsidP="00126893">
            <w:pPr>
              <w:spacing w:after="0" w:line="240" w:lineRule="auto"/>
              <w:jc w:val="center"/>
              <w:rPr>
                <w:rFonts w:ascii="Times New Roman" w:hAnsi="Times New Roman" w:cs="Times New Roman"/>
                <w:sz w:val="24"/>
                <w:szCs w:val="24"/>
              </w:rPr>
            </w:pPr>
            <w:r w:rsidRPr="00D91783">
              <w:rPr>
                <w:rFonts w:ascii="Times New Roman" w:hAnsi="Times New Roman" w:cs="Times New Roman"/>
                <w:sz w:val="24"/>
                <w:szCs w:val="24"/>
              </w:rPr>
              <w:t>-</w:t>
            </w:r>
          </w:p>
        </w:tc>
      </w:tr>
    </w:tbl>
    <w:p w14:paraId="47A9EE16" w14:textId="77777777" w:rsidR="00F31442" w:rsidRPr="00F705AB" w:rsidRDefault="00F31442" w:rsidP="00F31442">
      <w:pPr>
        <w:spacing w:line="480" w:lineRule="auto"/>
        <w:jc w:val="both"/>
        <w:rPr>
          <w:rFonts w:ascii="Times New Roman" w:eastAsia="Calibri" w:hAnsi="Times New Roman" w:cs="Times New Roman"/>
          <w:sz w:val="24"/>
          <w:szCs w:val="24"/>
        </w:rPr>
      </w:pPr>
    </w:p>
    <w:p w14:paraId="215C5B0A" w14:textId="099EEB13" w:rsidR="00F31442" w:rsidRPr="00F705AB" w:rsidRDefault="00AA5D9B" w:rsidP="004A2C20">
      <w:pPr>
        <w:spacing w:line="360" w:lineRule="auto"/>
        <w:jc w:val="both"/>
        <w:rPr>
          <w:rFonts w:ascii="Times New Roman" w:eastAsia="Calibri" w:hAnsi="Times New Roman" w:cs="Times New Roman"/>
          <w:sz w:val="24"/>
          <w:szCs w:val="24"/>
        </w:rPr>
      </w:pPr>
      <w:r w:rsidRPr="003B0C9B">
        <w:rPr>
          <w:rFonts w:ascii="Times New Roman" w:eastAsia="Calibri" w:hAnsi="Times New Roman" w:cs="Times New Roman"/>
          <w:b/>
          <w:bCs/>
          <w:sz w:val="24"/>
          <w:szCs w:val="24"/>
        </w:rPr>
        <w:t>Análisis estadístico</w:t>
      </w:r>
      <w:r w:rsidR="00F31442" w:rsidRPr="003B0C9B">
        <w:rPr>
          <w:rFonts w:ascii="Times New Roman" w:eastAsia="Calibri" w:hAnsi="Times New Roman" w:cs="Times New Roman"/>
          <w:sz w:val="24"/>
          <w:szCs w:val="24"/>
        </w:rPr>
        <w:t xml:space="preserve">. </w:t>
      </w:r>
      <w:r w:rsidRPr="003B0C9B">
        <w:rPr>
          <w:rFonts w:ascii="Times New Roman" w:eastAsia="Calibri" w:hAnsi="Times New Roman" w:cs="Times New Roman"/>
          <w:sz w:val="24"/>
          <w:szCs w:val="24"/>
        </w:rPr>
        <w:t xml:space="preserve">Los datos de genotipificación fueron analizados </w:t>
      </w:r>
      <w:r w:rsidR="00F31442" w:rsidRPr="003B0C9B">
        <w:rPr>
          <w:rFonts w:ascii="Times New Roman" w:eastAsia="Calibri" w:hAnsi="Times New Roman" w:cs="Times New Roman"/>
          <w:sz w:val="24"/>
          <w:szCs w:val="24"/>
        </w:rPr>
        <w:t>con el programa estadístico SPSS versión 20. Se determinaron las frecuencias genotípicas y alélicas del</w:t>
      </w:r>
      <w:r w:rsidR="00F31442" w:rsidRPr="00F705AB">
        <w:rPr>
          <w:rFonts w:ascii="Times New Roman" w:eastAsia="Calibri" w:hAnsi="Times New Roman" w:cs="Times New Roman"/>
          <w:sz w:val="24"/>
          <w:szCs w:val="24"/>
        </w:rPr>
        <w:t xml:space="preserve"> polimorfismo por conteo simple en todos los sujetos estudiados, y se analizó su distribución </w:t>
      </w:r>
      <w:r w:rsidR="00D317E7" w:rsidRPr="00F705AB">
        <w:rPr>
          <w:rFonts w:ascii="Times New Roman" w:eastAsia="Calibri" w:hAnsi="Times New Roman" w:cs="Times New Roman"/>
          <w:sz w:val="24"/>
          <w:szCs w:val="24"/>
        </w:rPr>
        <w:t>de acuerdo con</w:t>
      </w:r>
      <w:r w:rsidR="00F31442" w:rsidRPr="00F705AB">
        <w:rPr>
          <w:rFonts w:ascii="Times New Roman" w:eastAsia="Calibri" w:hAnsi="Times New Roman" w:cs="Times New Roman"/>
          <w:sz w:val="24"/>
          <w:szCs w:val="24"/>
        </w:rPr>
        <w:t xml:space="preserve"> </w:t>
      </w:r>
      <w:r w:rsidR="00D317E7">
        <w:rPr>
          <w:rFonts w:ascii="Times New Roman" w:eastAsia="Calibri" w:hAnsi="Times New Roman" w:cs="Times New Roman"/>
          <w:sz w:val="24"/>
          <w:szCs w:val="24"/>
        </w:rPr>
        <w:t xml:space="preserve">los </w:t>
      </w:r>
      <w:r w:rsidR="00F31442" w:rsidRPr="00F705AB">
        <w:rPr>
          <w:rFonts w:ascii="Times New Roman" w:eastAsia="Calibri" w:hAnsi="Times New Roman" w:cs="Times New Roman"/>
          <w:sz w:val="24"/>
          <w:szCs w:val="24"/>
        </w:rPr>
        <w:t xml:space="preserve">parámetros poblacionales para el equilibrio de Hardy-Weinberg. Se determinó la asociación del polimorfismo con el riesgo para periodontitis, mediante análisis </w:t>
      </w:r>
      <w:r w:rsidR="00D317E7">
        <w:rPr>
          <w:rFonts w:ascii="Times New Roman" w:eastAsia="Calibri" w:hAnsi="Times New Roman" w:cs="Times New Roman"/>
          <w:sz w:val="24"/>
          <w:szCs w:val="24"/>
        </w:rPr>
        <w:t>u</w:t>
      </w:r>
      <w:r w:rsidR="00F31442" w:rsidRPr="00F705AB">
        <w:rPr>
          <w:rFonts w:ascii="Times New Roman" w:eastAsia="Calibri" w:hAnsi="Times New Roman" w:cs="Times New Roman"/>
          <w:sz w:val="24"/>
          <w:szCs w:val="24"/>
        </w:rPr>
        <w:t xml:space="preserve">nivariado y posteriormente también un análisis bivariado (prueba de Ji cuadrada, p de Fisher y razón de momios) </w:t>
      </w:r>
      <w:r w:rsidR="00F31442" w:rsidRPr="00F705AB">
        <w:rPr>
          <w:rFonts w:ascii="Times New Roman" w:eastAsia="Calibri" w:hAnsi="Times New Roman" w:cs="Times New Roman"/>
          <w:sz w:val="24"/>
          <w:szCs w:val="24"/>
          <w:lang w:val="es-ES"/>
        </w:rPr>
        <w:t>considerando una p&lt;0.05 y</w:t>
      </w:r>
      <w:r w:rsidR="00611D45">
        <w:rPr>
          <w:rFonts w:ascii="Times New Roman" w:eastAsia="Calibri" w:hAnsi="Times New Roman" w:cs="Times New Roman"/>
          <w:sz w:val="24"/>
          <w:szCs w:val="24"/>
          <w:lang w:val="es-ES"/>
        </w:rPr>
        <w:t xml:space="preserve"> la</w:t>
      </w:r>
      <w:r w:rsidR="00F31442" w:rsidRPr="00F705AB">
        <w:rPr>
          <w:rFonts w:ascii="Times New Roman" w:eastAsia="Calibri" w:hAnsi="Times New Roman" w:cs="Times New Roman"/>
          <w:sz w:val="24"/>
          <w:szCs w:val="24"/>
          <w:lang w:val="es-ES"/>
        </w:rPr>
        <w:t xml:space="preserve"> </w:t>
      </w:r>
      <w:r w:rsidR="00611D45">
        <w:rPr>
          <w:rFonts w:ascii="Times New Roman" w:eastAsia="Calibri" w:hAnsi="Times New Roman" w:cs="Times New Roman"/>
          <w:sz w:val="24"/>
          <w:szCs w:val="24"/>
          <w:lang w:val="es-ES"/>
        </w:rPr>
        <w:t>Razón de Momios (OR, por sus siglas en inglés)</w:t>
      </w:r>
      <w:r w:rsidR="00F31442" w:rsidRPr="00F705AB">
        <w:rPr>
          <w:rFonts w:ascii="Times New Roman" w:eastAsia="Calibri" w:hAnsi="Times New Roman" w:cs="Times New Roman"/>
          <w:sz w:val="24"/>
          <w:szCs w:val="24"/>
          <w:lang w:val="es-ES"/>
        </w:rPr>
        <w:t xml:space="preserve">; intervalo de confianza </w:t>
      </w:r>
      <w:r w:rsidR="00611D45">
        <w:rPr>
          <w:rFonts w:ascii="Times New Roman" w:eastAsia="Calibri" w:hAnsi="Times New Roman" w:cs="Times New Roman"/>
          <w:sz w:val="24"/>
          <w:szCs w:val="24"/>
          <w:lang w:val="es-ES"/>
        </w:rPr>
        <w:t xml:space="preserve">(IC) </w:t>
      </w:r>
      <w:r w:rsidR="00F31442" w:rsidRPr="00F705AB">
        <w:rPr>
          <w:rFonts w:ascii="Times New Roman" w:eastAsia="Calibri" w:hAnsi="Times New Roman" w:cs="Times New Roman"/>
          <w:sz w:val="24"/>
          <w:szCs w:val="24"/>
          <w:lang w:val="es-ES"/>
        </w:rPr>
        <w:t>fue del 95% (OR, 95% I</w:t>
      </w:r>
      <w:r w:rsidR="00611D45">
        <w:rPr>
          <w:rFonts w:ascii="Times New Roman" w:eastAsia="Calibri" w:hAnsi="Times New Roman" w:cs="Times New Roman"/>
          <w:sz w:val="24"/>
          <w:szCs w:val="24"/>
          <w:lang w:val="es-ES"/>
        </w:rPr>
        <w:t>C</w:t>
      </w:r>
      <w:r w:rsidR="00F31442" w:rsidRPr="00F705AB">
        <w:rPr>
          <w:rFonts w:ascii="Times New Roman" w:eastAsia="Calibri" w:hAnsi="Times New Roman" w:cs="Times New Roman"/>
          <w:sz w:val="24"/>
          <w:szCs w:val="24"/>
          <w:lang w:val="es-ES"/>
        </w:rPr>
        <w:t>). Cada grupo de casos se comparó con el grupo control.</w:t>
      </w:r>
    </w:p>
    <w:p w14:paraId="510517C4" w14:textId="77777777" w:rsidR="00F31442" w:rsidRPr="00C53F88" w:rsidRDefault="00F31442" w:rsidP="004A2C20">
      <w:pPr>
        <w:spacing w:line="360" w:lineRule="auto"/>
        <w:rPr>
          <w:rFonts w:ascii="Times New Roman" w:eastAsia="Calibri" w:hAnsi="Times New Roman" w:cs="Times New Roman"/>
          <w:b/>
          <w:sz w:val="24"/>
          <w:szCs w:val="24"/>
        </w:rPr>
      </w:pPr>
      <w:r w:rsidRPr="00C53F88">
        <w:rPr>
          <w:rFonts w:ascii="Times New Roman" w:eastAsia="Calibri" w:hAnsi="Times New Roman" w:cs="Times New Roman"/>
          <w:b/>
          <w:sz w:val="24"/>
          <w:szCs w:val="24"/>
        </w:rPr>
        <w:t>RESULTADOS</w:t>
      </w:r>
    </w:p>
    <w:p w14:paraId="31BC1514" w14:textId="768FE84B" w:rsidR="00B7396F" w:rsidRDefault="00307C42" w:rsidP="004A2C20">
      <w:pPr>
        <w:tabs>
          <w:tab w:val="left" w:pos="1155"/>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w:t>
      </w:r>
      <w:r w:rsidR="00F31442" w:rsidRPr="00C53F88">
        <w:rPr>
          <w:rFonts w:ascii="Times New Roman" w:eastAsia="Calibri" w:hAnsi="Times New Roman" w:cs="Times New Roman"/>
          <w:sz w:val="24"/>
          <w:szCs w:val="24"/>
        </w:rPr>
        <w:t>as características clínicas</w:t>
      </w:r>
      <w:r w:rsidR="003B0C9B">
        <w:rPr>
          <w:rFonts w:ascii="Times New Roman" w:eastAsia="Calibri" w:hAnsi="Times New Roman" w:cs="Times New Roman"/>
          <w:sz w:val="24"/>
          <w:szCs w:val="24"/>
        </w:rPr>
        <w:t xml:space="preserve"> y metabolicas</w:t>
      </w:r>
      <w:r w:rsidR="00F31442" w:rsidRPr="00C53F88">
        <w:rPr>
          <w:rFonts w:ascii="Times New Roman" w:eastAsia="Calibri" w:hAnsi="Times New Roman" w:cs="Times New Roman"/>
          <w:sz w:val="24"/>
          <w:szCs w:val="24"/>
        </w:rPr>
        <w:t xml:space="preserve"> de</w:t>
      </w:r>
      <w:r w:rsidR="00F31442" w:rsidRPr="00F705AB">
        <w:rPr>
          <w:rFonts w:ascii="Times New Roman" w:eastAsia="Calibri" w:hAnsi="Times New Roman" w:cs="Times New Roman"/>
          <w:sz w:val="24"/>
          <w:szCs w:val="24"/>
        </w:rPr>
        <w:t xml:space="preserve"> los grupos de estudio se presentan en </w:t>
      </w:r>
      <w:r w:rsidR="00F31442" w:rsidRPr="00BE0C73">
        <w:rPr>
          <w:rFonts w:ascii="Times New Roman" w:eastAsia="Calibri" w:hAnsi="Times New Roman" w:cs="Times New Roman"/>
          <w:sz w:val="24"/>
          <w:szCs w:val="24"/>
        </w:rPr>
        <w:t xml:space="preserve">la tabla </w:t>
      </w:r>
      <w:r w:rsidR="00611D45" w:rsidRPr="00BE0C73">
        <w:rPr>
          <w:rFonts w:ascii="Times New Roman" w:eastAsia="Calibri" w:hAnsi="Times New Roman" w:cs="Times New Roman"/>
          <w:sz w:val="24"/>
          <w:szCs w:val="24"/>
        </w:rPr>
        <w:t>2</w:t>
      </w:r>
      <w:r w:rsidR="00F31442" w:rsidRPr="00BE0C73">
        <w:rPr>
          <w:rFonts w:ascii="Times New Roman" w:eastAsia="Calibri" w:hAnsi="Times New Roman" w:cs="Times New Roman"/>
          <w:sz w:val="24"/>
          <w:szCs w:val="24"/>
        </w:rPr>
        <w:t>. Los</w:t>
      </w:r>
      <w:r w:rsidR="00F31442" w:rsidRPr="00F705AB">
        <w:rPr>
          <w:rFonts w:ascii="Times New Roman" w:eastAsia="Calibri" w:hAnsi="Times New Roman" w:cs="Times New Roman"/>
          <w:sz w:val="24"/>
          <w:szCs w:val="24"/>
        </w:rPr>
        <w:t xml:space="preserve"> datos </w:t>
      </w:r>
      <w:r w:rsidR="00F31442" w:rsidRPr="00B56B51">
        <w:rPr>
          <w:rFonts w:ascii="Times New Roman" w:eastAsia="Calibri" w:hAnsi="Times New Roman" w:cs="Times New Roman"/>
          <w:sz w:val="24"/>
          <w:szCs w:val="24"/>
        </w:rPr>
        <w:t>de control</w:t>
      </w:r>
      <w:r w:rsidR="00F31442" w:rsidRPr="00F705AB">
        <w:rPr>
          <w:rFonts w:ascii="Times New Roman" w:eastAsia="Calibri" w:hAnsi="Times New Roman" w:cs="Times New Roman"/>
          <w:sz w:val="24"/>
          <w:szCs w:val="24"/>
        </w:rPr>
        <w:t xml:space="preserve"> de las características metabólicas fueron similares para ambos grupos. </w:t>
      </w:r>
      <w:bookmarkStart w:id="7" w:name="_Hlk44064347"/>
      <w:r w:rsidR="00054637" w:rsidRPr="00054637">
        <w:rPr>
          <w:rFonts w:ascii="Times New Roman" w:eastAsia="Calibri" w:hAnsi="Times New Roman" w:cs="Times New Roman"/>
          <w:sz w:val="24"/>
          <w:szCs w:val="24"/>
        </w:rPr>
        <w:t>Tanto en los casos como en los controles</w:t>
      </w:r>
      <w:r w:rsidR="00C53F88" w:rsidRPr="00054637">
        <w:rPr>
          <w:rFonts w:ascii="Times New Roman" w:eastAsia="Calibri" w:hAnsi="Times New Roman" w:cs="Times New Roman"/>
          <w:sz w:val="24"/>
          <w:szCs w:val="24"/>
        </w:rPr>
        <w:t xml:space="preserve"> hubo mayor prevalencia de mujeres</w:t>
      </w:r>
      <w:r w:rsidR="006C424B" w:rsidRPr="00054637">
        <w:rPr>
          <w:rFonts w:ascii="Times New Roman" w:eastAsia="Calibri" w:hAnsi="Times New Roman" w:cs="Times New Roman"/>
          <w:sz w:val="24"/>
          <w:szCs w:val="24"/>
        </w:rPr>
        <w:t xml:space="preserve">. </w:t>
      </w:r>
      <w:bookmarkStart w:id="8" w:name="_Hlk44064539"/>
      <w:r w:rsidR="006C424B" w:rsidRPr="00054637">
        <w:rPr>
          <w:rFonts w:ascii="Times New Roman" w:eastAsia="Calibri" w:hAnsi="Times New Roman" w:cs="Times New Roman"/>
          <w:sz w:val="24"/>
          <w:szCs w:val="24"/>
        </w:rPr>
        <w:t>En el grupo control,</w:t>
      </w:r>
      <w:r w:rsidR="00C53F88" w:rsidRPr="00054637">
        <w:rPr>
          <w:rFonts w:ascii="Times New Roman" w:eastAsia="Calibri" w:hAnsi="Times New Roman" w:cs="Times New Roman"/>
          <w:sz w:val="24"/>
          <w:szCs w:val="24"/>
        </w:rPr>
        <w:t xml:space="preserve"> la edad promedio fue de </w:t>
      </w:r>
      <w:r w:rsidR="006C424B" w:rsidRPr="00054637">
        <w:rPr>
          <w:rFonts w:ascii="Times New Roman" w:eastAsia="Calibri" w:hAnsi="Times New Roman" w:cs="Times New Roman"/>
          <w:sz w:val="24"/>
          <w:szCs w:val="24"/>
        </w:rPr>
        <w:t>30</w:t>
      </w:r>
      <w:r w:rsidR="00C53F88" w:rsidRPr="00054637">
        <w:rPr>
          <w:rFonts w:ascii="Times New Roman" w:eastAsia="Calibri" w:hAnsi="Times New Roman" w:cs="Times New Roman"/>
          <w:sz w:val="24"/>
          <w:szCs w:val="24"/>
        </w:rPr>
        <w:t>.</w:t>
      </w:r>
      <w:r w:rsidR="006C424B" w:rsidRPr="00054637">
        <w:rPr>
          <w:rFonts w:ascii="Times New Roman" w:eastAsia="Calibri" w:hAnsi="Times New Roman" w:cs="Times New Roman"/>
          <w:sz w:val="24"/>
          <w:szCs w:val="24"/>
        </w:rPr>
        <w:t>06</w:t>
      </w:r>
      <w:r w:rsidR="00C53F88" w:rsidRPr="00054637">
        <w:rPr>
          <w:rFonts w:ascii="Times New Roman" w:eastAsia="Calibri" w:hAnsi="Times New Roman" w:cs="Times New Roman"/>
          <w:sz w:val="24"/>
          <w:szCs w:val="24"/>
        </w:rPr>
        <w:t xml:space="preserve"> años</w:t>
      </w:r>
      <w:r w:rsidR="00054637">
        <w:rPr>
          <w:rFonts w:ascii="Times New Roman" w:eastAsia="Calibri" w:hAnsi="Times New Roman" w:cs="Times New Roman"/>
          <w:sz w:val="24"/>
          <w:szCs w:val="24"/>
        </w:rPr>
        <w:t>,</w:t>
      </w:r>
      <w:r w:rsidR="00C53F88" w:rsidRPr="00054637">
        <w:rPr>
          <w:rFonts w:ascii="Times New Roman" w:eastAsia="Calibri" w:hAnsi="Times New Roman" w:cs="Times New Roman"/>
          <w:sz w:val="24"/>
          <w:szCs w:val="24"/>
        </w:rPr>
        <w:t xml:space="preserve"> la pérdida de inserción fue significativamente menor con respecto de los casos; el promedio de IMC corresponde a sobrepeso</w:t>
      </w:r>
      <w:r w:rsidR="00054637">
        <w:rPr>
          <w:rFonts w:ascii="Times New Roman" w:eastAsia="Calibri" w:hAnsi="Times New Roman" w:cs="Times New Roman"/>
          <w:sz w:val="24"/>
          <w:szCs w:val="24"/>
        </w:rPr>
        <w:t xml:space="preserve"> en ambos grupos</w:t>
      </w:r>
      <w:r w:rsidR="00C53F88" w:rsidRPr="00054637">
        <w:rPr>
          <w:rFonts w:ascii="Times New Roman" w:eastAsia="Calibri" w:hAnsi="Times New Roman" w:cs="Times New Roman"/>
          <w:sz w:val="24"/>
          <w:szCs w:val="24"/>
        </w:rPr>
        <w:t>, y la glucosa sérica</w:t>
      </w:r>
      <w:r w:rsidR="00054637">
        <w:rPr>
          <w:rFonts w:ascii="Times New Roman" w:eastAsia="Calibri" w:hAnsi="Times New Roman" w:cs="Times New Roman"/>
          <w:sz w:val="24"/>
          <w:szCs w:val="24"/>
        </w:rPr>
        <w:t xml:space="preserve">, </w:t>
      </w:r>
      <w:r w:rsidR="00054637" w:rsidRPr="00054637">
        <w:rPr>
          <w:rFonts w:ascii="Times New Roman" w:eastAsia="Calibri" w:hAnsi="Times New Roman" w:cs="Times New Roman"/>
          <w:sz w:val="24"/>
          <w:szCs w:val="24"/>
        </w:rPr>
        <w:t>así como la HbA1c</w:t>
      </w:r>
      <w:r w:rsidR="00C53F88" w:rsidRPr="00054637">
        <w:rPr>
          <w:rFonts w:ascii="Times New Roman" w:eastAsia="Calibri" w:hAnsi="Times New Roman" w:cs="Times New Roman"/>
          <w:sz w:val="24"/>
          <w:szCs w:val="24"/>
        </w:rPr>
        <w:t xml:space="preserve"> se encuentra</w:t>
      </w:r>
      <w:r w:rsidR="00054637">
        <w:rPr>
          <w:rFonts w:ascii="Times New Roman" w:eastAsia="Calibri" w:hAnsi="Times New Roman" w:cs="Times New Roman"/>
          <w:sz w:val="24"/>
          <w:szCs w:val="24"/>
        </w:rPr>
        <w:t>n</w:t>
      </w:r>
      <w:r w:rsidR="00C53F88" w:rsidRPr="00054637">
        <w:rPr>
          <w:rFonts w:ascii="Times New Roman" w:eastAsia="Calibri" w:hAnsi="Times New Roman" w:cs="Times New Roman"/>
          <w:sz w:val="24"/>
          <w:szCs w:val="24"/>
        </w:rPr>
        <w:t xml:space="preserve"> dentro de los valores de referencia</w:t>
      </w:r>
      <w:r w:rsidR="00054637">
        <w:rPr>
          <w:rFonts w:ascii="Times New Roman" w:eastAsia="Calibri" w:hAnsi="Times New Roman" w:cs="Times New Roman"/>
          <w:sz w:val="24"/>
          <w:szCs w:val="24"/>
        </w:rPr>
        <w:t>.</w:t>
      </w:r>
      <w:r w:rsidR="00C53F88" w:rsidRPr="00054637">
        <w:rPr>
          <w:rFonts w:ascii="Times New Roman" w:eastAsia="Calibri" w:hAnsi="Times New Roman" w:cs="Times New Roman"/>
          <w:sz w:val="24"/>
          <w:szCs w:val="24"/>
        </w:rPr>
        <w:t xml:space="preserve"> (Tabla 2).</w:t>
      </w:r>
      <w:bookmarkEnd w:id="7"/>
    </w:p>
    <w:p w14:paraId="09CF830E" w14:textId="7D0579B1" w:rsidR="001E5CE1" w:rsidRDefault="001E5CE1" w:rsidP="004A2C20">
      <w:pPr>
        <w:tabs>
          <w:tab w:val="left" w:pos="1155"/>
        </w:tabs>
        <w:spacing w:line="360" w:lineRule="auto"/>
        <w:jc w:val="both"/>
        <w:rPr>
          <w:rFonts w:ascii="Times New Roman" w:eastAsia="Calibri" w:hAnsi="Times New Roman" w:cs="Times New Roman"/>
          <w:sz w:val="24"/>
          <w:szCs w:val="24"/>
        </w:rPr>
      </w:pPr>
    </w:p>
    <w:p w14:paraId="561A6F1A" w14:textId="77777777" w:rsidR="001E5CE1" w:rsidRDefault="001E5CE1" w:rsidP="004A2C20">
      <w:pPr>
        <w:tabs>
          <w:tab w:val="left" w:pos="1155"/>
        </w:tabs>
        <w:spacing w:line="360" w:lineRule="auto"/>
        <w:jc w:val="both"/>
        <w:rPr>
          <w:rFonts w:ascii="Times New Roman" w:eastAsia="Calibri" w:hAnsi="Times New Roman" w:cs="Times New Roman"/>
          <w:sz w:val="24"/>
          <w:szCs w:val="24"/>
        </w:rPr>
      </w:pPr>
    </w:p>
    <w:bookmarkEnd w:id="8"/>
    <w:p w14:paraId="341E7FCB" w14:textId="0715EEF5" w:rsidR="00F31442" w:rsidRDefault="00F31442" w:rsidP="00B7396F">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Tabla </w:t>
      </w:r>
      <w:r w:rsidR="00792E29">
        <w:rPr>
          <w:rFonts w:ascii="Times New Roman" w:hAnsi="Times New Roman" w:cs="Times New Roman"/>
          <w:sz w:val="24"/>
          <w:szCs w:val="24"/>
        </w:rPr>
        <w:t>2</w:t>
      </w:r>
      <w:r w:rsidRPr="00916264">
        <w:rPr>
          <w:rFonts w:ascii="Times New Roman" w:hAnsi="Times New Roman" w:cs="Times New Roman"/>
          <w:sz w:val="24"/>
          <w:szCs w:val="24"/>
        </w:rPr>
        <w:t xml:space="preserve">. Relación de las </w:t>
      </w:r>
      <w:r w:rsidR="00286B62">
        <w:rPr>
          <w:rFonts w:ascii="Times New Roman" w:hAnsi="Times New Roman" w:cs="Times New Roman"/>
          <w:sz w:val="24"/>
          <w:szCs w:val="24"/>
        </w:rPr>
        <w:t>c</w:t>
      </w:r>
      <w:r w:rsidRPr="00916264">
        <w:rPr>
          <w:rFonts w:ascii="Times New Roman" w:hAnsi="Times New Roman" w:cs="Times New Roman"/>
          <w:sz w:val="24"/>
          <w:szCs w:val="24"/>
        </w:rPr>
        <w:t xml:space="preserve">aracterísticas clínicas </w:t>
      </w:r>
      <w:r w:rsidR="003B0C9B">
        <w:rPr>
          <w:rFonts w:ascii="Times New Roman" w:hAnsi="Times New Roman" w:cs="Times New Roman"/>
          <w:sz w:val="24"/>
          <w:szCs w:val="24"/>
        </w:rPr>
        <w:t xml:space="preserve">y </w:t>
      </w:r>
      <w:r w:rsidR="00F2052F">
        <w:rPr>
          <w:rFonts w:ascii="Times New Roman" w:hAnsi="Times New Roman" w:cs="Times New Roman"/>
          <w:sz w:val="24"/>
          <w:szCs w:val="24"/>
        </w:rPr>
        <w:t>metabólica</w:t>
      </w:r>
      <w:r w:rsidR="003B0C9B">
        <w:rPr>
          <w:rFonts w:ascii="Times New Roman" w:hAnsi="Times New Roman" w:cs="Times New Roman"/>
          <w:sz w:val="24"/>
          <w:szCs w:val="24"/>
        </w:rPr>
        <w:t>s</w:t>
      </w:r>
      <w:r w:rsidR="00F2052F">
        <w:rPr>
          <w:rFonts w:ascii="Times New Roman" w:hAnsi="Times New Roman" w:cs="Times New Roman"/>
          <w:sz w:val="24"/>
          <w:szCs w:val="24"/>
        </w:rPr>
        <w:t xml:space="preserve"> </w:t>
      </w:r>
      <w:r w:rsidRPr="00916264">
        <w:rPr>
          <w:rFonts w:ascii="Times New Roman" w:hAnsi="Times New Roman" w:cs="Times New Roman"/>
          <w:sz w:val="24"/>
          <w:szCs w:val="24"/>
        </w:rPr>
        <w:t>en los grupos de casos y controles</w:t>
      </w:r>
      <w:r w:rsidR="00286B62">
        <w:rPr>
          <w:rFonts w:ascii="Times New Roman" w:hAnsi="Times New Roman" w:cs="Times New Roman"/>
          <w:sz w:val="24"/>
          <w:szCs w:val="24"/>
        </w:rPr>
        <w:t>.</w:t>
      </w:r>
    </w:p>
    <w:tbl>
      <w:tblPr>
        <w:tblW w:w="0" w:type="auto"/>
        <w:jc w:val="center"/>
        <w:tblLook w:val="06A0" w:firstRow="1" w:lastRow="0" w:firstColumn="1" w:lastColumn="0" w:noHBand="1" w:noVBand="1"/>
      </w:tblPr>
      <w:tblGrid>
        <w:gridCol w:w="2268"/>
        <w:gridCol w:w="2848"/>
        <w:gridCol w:w="2848"/>
      </w:tblGrid>
      <w:tr w:rsidR="001E5CE1" w:rsidRPr="00916264" w14:paraId="62781D6B" w14:textId="77777777" w:rsidTr="00126893">
        <w:trPr>
          <w:jc w:val="center"/>
        </w:trPr>
        <w:tc>
          <w:tcPr>
            <w:tcW w:w="2268" w:type="dxa"/>
            <w:tcBorders>
              <w:top w:val="single" w:sz="12" w:space="0" w:color="auto"/>
              <w:bottom w:val="single" w:sz="12" w:space="0" w:color="auto"/>
            </w:tcBorders>
          </w:tcPr>
          <w:p w14:paraId="27858049" w14:textId="77777777" w:rsidR="001E5CE1" w:rsidRPr="00916264" w:rsidRDefault="001E5CE1" w:rsidP="00126893">
            <w:pPr>
              <w:spacing w:after="0"/>
              <w:rPr>
                <w:rFonts w:ascii="Times New Roman" w:hAnsi="Times New Roman" w:cs="Times New Roman"/>
                <w:b/>
                <w:bCs/>
                <w:sz w:val="24"/>
                <w:szCs w:val="24"/>
              </w:rPr>
            </w:pPr>
          </w:p>
          <w:p w14:paraId="4797317B" w14:textId="77777777" w:rsidR="001E5CE1" w:rsidRPr="00916264" w:rsidRDefault="001E5CE1" w:rsidP="00126893">
            <w:pPr>
              <w:spacing w:after="0"/>
              <w:jc w:val="center"/>
              <w:rPr>
                <w:rFonts w:ascii="Times New Roman" w:hAnsi="Times New Roman" w:cs="Times New Roman"/>
                <w:b/>
                <w:bCs/>
                <w:sz w:val="24"/>
                <w:szCs w:val="24"/>
              </w:rPr>
            </w:pPr>
            <w:r>
              <w:rPr>
                <w:rFonts w:ascii="Times New Roman" w:hAnsi="Times New Roman" w:cs="Times New Roman"/>
                <w:b/>
                <w:bCs/>
                <w:sz w:val="24"/>
                <w:szCs w:val="24"/>
              </w:rPr>
              <w:t>Características</w:t>
            </w:r>
          </w:p>
        </w:tc>
        <w:tc>
          <w:tcPr>
            <w:tcW w:w="2848" w:type="dxa"/>
            <w:tcBorders>
              <w:top w:val="single" w:sz="12" w:space="0" w:color="auto"/>
              <w:bottom w:val="single" w:sz="12" w:space="0" w:color="auto"/>
            </w:tcBorders>
          </w:tcPr>
          <w:p w14:paraId="0E522809" w14:textId="77777777" w:rsidR="001E5CE1" w:rsidRDefault="001E5CE1" w:rsidP="00126893">
            <w:pPr>
              <w:spacing w:after="0"/>
              <w:jc w:val="center"/>
              <w:rPr>
                <w:rFonts w:ascii="Times New Roman" w:hAnsi="Times New Roman" w:cs="Times New Roman"/>
                <w:b/>
                <w:bCs/>
                <w:sz w:val="24"/>
                <w:szCs w:val="24"/>
              </w:rPr>
            </w:pPr>
            <w:r w:rsidRPr="00916264">
              <w:rPr>
                <w:rFonts w:ascii="Times New Roman" w:hAnsi="Times New Roman" w:cs="Times New Roman"/>
                <w:b/>
                <w:bCs/>
                <w:sz w:val="24"/>
                <w:szCs w:val="24"/>
              </w:rPr>
              <w:t>Casos PC</w:t>
            </w:r>
          </w:p>
          <w:p w14:paraId="00D6876A" w14:textId="77777777" w:rsidR="001E5CE1" w:rsidRPr="00916264" w:rsidRDefault="001E5CE1" w:rsidP="00126893">
            <w:pPr>
              <w:spacing w:after="0"/>
              <w:jc w:val="center"/>
              <w:rPr>
                <w:rFonts w:ascii="Times New Roman" w:hAnsi="Times New Roman" w:cs="Times New Roman"/>
                <w:b/>
                <w:bCs/>
                <w:sz w:val="24"/>
                <w:szCs w:val="24"/>
              </w:rPr>
            </w:pPr>
            <w:r>
              <w:rPr>
                <w:rFonts w:ascii="Times New Roman" w:hAnsi="Times New Roman" w:cs="Times New Roman"/>
                <w:b/>
                <w:bCs/>
                <w:sz w:val="24"/>
                <w:szCs w:val="24"/>
              </w:rPr>
              <w:t>N=52</w:t>
            </w:r>
          </w:p>
          <w:p w14:paraId="41158C14" w14:textId="77777777" w:rsidR="001E5CE1" w:rsidRDefault="001E5CE1" w:rsidP="00126893">
            <w:pPr>
              <w:spacing w:after="0"/>
              <w:jc w:val="center"/>
              <w:rPr>
                <w:rFonts w:ascii="Times New Roman" w:hAnsi="Times New Roman" w:cs="Times New Roman"/>
                <w:b/>
                <w:bCs/>
                <w:sz w:val="24"/>
                <w:szCs w:val="24"/>
              </w:rPr>
            </w:pPr>
            <w:r w:rsidRPr="00916264">
              <w:rPr>
                <w:rFonts w:ascii="Times New Roman" w:hAnsi="Times New Roman" w:cs="Times New Roman"/>
                <w:b/>
                <w:bCs/>
                <w:sz w:val="24"/>
                <w:szCs w:val="24"/>
              </w:rPr>
              <w:t>Media±DE</w:t>
            </w:r>
          </w:p>
          <w:p w14:paraId="72ABB94D" w14:textId="77777777" w:rsidR="001E5CE1" w:rsidRPr="00916264" w:rsidRDefault="001E5CE1" w:rsidP="00126893">
            <w:pPr>
              <w:spacing w:after="0"/>
              <w:jc w:val="center"/>
              <w:rPr>
                <w:rFonts w:ascii="Times New Roman" w:hAnsi="Times New Roman" w:cs="Times New Roman"/>
                <w:b/>
                <w:bCs/>
                <w:sz w:val="24"/>
                <w:szCs w:val="24"/>
              </w:rPr>
            </w:pPr>
            <w:r w:rsidRPr="00916264">
              <w:rPr>
                <w:rFonts w:ascii="Times New Roman" w:hAnsi="Times New Roman" w:cs="Times New Roman"/>
                <w:b/>
                <w:bCs/>
                <w:sz w:val="24"/>
                <w:szCs w:val="24"/>
              </w:rPr>
              <w:t>(Rangos)</w:t>
            </w:r>
          </w:p>
        </w:tc>
        <w:tc>
          <w:tcPr>
            <w:tcW w:w="2848" w:type="dxa"/>
            <w:tcBorders>
              <w:top w:val="single" w:sz="12" w:space="0" w:color="auto"/>
              <w:bottom w:val="single" w:sz="12" w:space="0" w:color="auto"/>
            </w:tcBorders>
          </w:tcPr>
          <w:p w14:paraId="40F0A2B4" w14:textId="77777777" w:rsidR="001E5CE1" w:rsidRDefault="001E5CE1" w:rsidP="00126893">
            <w:pPr>
              <w:spacing w:after="0"/>
              <w:jc w:val="center"/>
              <w:rPr>
                <w:rFonts w:ascii="Times New Roman" w:hAnsi="Times New Roman" w:cs="Times New Roman"/>
                <w:b/>
                <w:bCs/>
                <w:sz w:val="24"/>
                <w:szCs w:val="24"/>
              </w:rPr>
            </w:pPr>
            <w:r w:rsidRPr="00916264">
              <w:rPr>
                <w:rFonts w:ascii="Times New Roman" w:hAnsi="Times New Roman" w:cs="Times New Roman"/>
                <w:b/>
                <w:bCs/>
                <w:sz w:val="24"/>
                <w:szCs w:val="24"/>
              </w:rPr>
              <w:t>Controles sanos</w:t>
            </w:r>
          </w:p>
          <w:p w14:paraId="6A9EA43C" w14:textId="77777777" w:rsidR="001E5CE1" w:rsidRPr="00916264" w:rsidRDefault="001E5CE1" w:rsidP="00126893">
            <w:pPr>
              <w:spacing w:after="0"/>
              <w:jc w:val="center"/>
              <w:rPr>
                <w:rFonts w:ascii="Times New Roman" w:hAnsi="Times New Roman" w:cs="Times New Roman"/>
                <w:b/>
                <w:bCs/>
                <w:sz w:val="24"/>
                <w:szCs w:val="24"/>
              </w:rPr>
            </w:pPr>
            <w:r>
              <w:rPr>
                <w:rFonts w:ascii="Times New Roman" w:hAnsi="Times New Roman" w:cs="Times New Roman"/>
                <w:b/>
                <w:bCs/>
                <w:sz w:val="24"/>
                <w:szCs w:val="24"/>
              </w:rPr>
              <w:t>N=50</w:t>
            </w:r>
          </w:p>
          <w:p w14:paraId="630F919F" w14:textId="77777777" w:rsidR="001E5CE1" w:rsidRDefault="001E5CE1" w:rsidP="00126893">
            <w:pPr>
              <w:spacing w:after="0"/>
              <w:jc w:val="center"/>
              <w:rPr>
                <w:rFonts w:ascii="Times New Roman" w:hAnsi="Times New Roman" w:cs="Times New Roman"/>
                <w:b/>
                <w:bCs/>
                <w:sz w:val="24"/>
                <w:szCs w:val="24"/>
              </w:rPr>
            </w:pPr>
            <w:r w:rsidRPr="00916264">
              <w:rPr>
                <w:rFonts w:ascii="Times New Roman" w:hAnsi="Times New Roman" w:cs="Times New Roman"/>
                <w:b/>
                <w:bCs/>
                <w:sz w:val="24"/>
                <w:szCs w:val="24"/>
              </w:rPr>
              <w:t>Media±DE</w:t>
            </w:r>
          </w:p>
          <w:p w14:paraId="67527C51" w14:textId="77777777" w:rsidR="001E5CE1" w:rsidRPr="00916264" w:rsidRDefault="001E5CE1" w:rsidP="00126893">
            <w:pPr>
              <w:spacing w:after="0"/>
              <w:jc w:val="center"/>
              <w:rPr>
                <w:rFonts w:ascii="Times New Roman" w:hAnsi="Times New Roman" w:cs="Times New Roman"/>
                <w:b/>
                <w:bCs/>
                <w:sz w:val="24"/>
                <w:szCs w:val="24"/>
              </w:rPr>
            </w:pPr>
            <w:r w:rsidRPr="00916264">
              <w:rPr>
                <w:rFonts w:ascii="Times New Roman" w:hAnsi="Times New Roman" w:cs="Times New Roman"/>
                <w:b/>
                <w:bCs/>
                <w:sz w:val="24"/>
                <w:szCs w:val="24"/>
              </w:rPr>
              <w:t>(Rangos)</w:t>
            </w:r>
          </w:p>
        </w:tc>
      </w:tr>
      <w:tr w:rsidR="001E5CE1" w:rsidRPr="00916264" w14:paraId="04A001C1" w14:textId="77777777" w:rsidTr="00126893">
        <w:trPr>
          <w:jc w:val="center"/>
        </w:trPr>
        <w:tc>
          <w:tcPr>
            <w:tcW w:w="2268" w:type="dxa"/>
            <w:tcBorders>
              <w:top w:val="single" w:sz="12" w:space="0" w:color="auto"/>
              <w:bottom w:val="single" w:sz="4" w:space="0" w:color="auto"/>
            </w:tcBorders>
          </w:tcPr>
          <w:p w14:paraId="350D8496" w14:textId="77777777" w:rsidR="001E5CE1" w:rsidRDefault="001E5CE1" w:rsidP="00126893">
            <w:pPr>
              <w:spacing w:after="0"/>
              <w:rPr>
                <w:rFonts w:ascii="Times New Roman" w:hAnsi="Times New Roman" w:cs="Times New Roman"/>
                <w:b/>
                <w:bCs/>
                <w:sz w:val="24"/>
                <w:szCs w:val="24"/>
              </w:rPr>
            </w:pPr>
            <w:r w:rsidRPr="00916264">
              <w:rPr>
                <w:rFonts w:ascii="Times New Roman" w:hAnsi="Times New Roman" w:cs="Times New Roman"/>
                <w:b/>
                <w:bCs/>
                <w:sz w:val="24"/>
                <w:szCs w:val="24"/>
              </w:rPr>
              <w:t>Sexo</w:t>
            </w:r>
          </w:p>
          <w:p w14:paraId="62A44BDA" w14:textId="77777777" w:rsidR="001E5CE1" w:rsidRPr="00916264" w:rsidRDefault="001E5CE1" w:rsidP="00126893">
            <w:pPr>
              <w:spacing w:after="0"/>
              <w:rPr>
                <w:rFonts w:ascii="Times New Roman" w:hAnsi="Times New Roman" w:cs="Times New Roman"/>
                <w:b/>
                <w:bCs/>
                <w:sz w:val="24"/>
                <w:szCs w:val="24"/>
              </w:rPr>
            </w:pPr>
            <w:r>
              <w:rPr>
                <w:rFonts w:ascii="Times New Roman" w:hAnsi="Times New Roman" w:cs="Times New Roman"/>
                <w:b/>
                <w:bCs/>
                <w:sz w:val="24"/>
                <w:szCs w:val="24"/>
              </w:rPr>
              <w:t>M</w:t>
            </w:r>
          </w:p>
          <w:p w14:paraId="53FED079" w14:textId="77777777" w:rsidR="001E5CE1" w:rsidRPr="00916264" w:rsidRDefault="001E5CE1" w:rsidP="00126893">
            <w:pPr>
              <w:spacing w:after="0"/>
              <w:rPr>
                <w:rFonts w:ascii="Times New Roman" w:hAnsi="Times New Roman" w:cs="Times New Roman"/>
                <w:b/>
                <w:bCs/>
                <w:sz w:val="24"/>
                <w:szCs w:val="24"/>
              </w:rPr>
            </w:pPr>
            <w:r>
              <w:rPr>
                <w:rFonts w:ascii="Times New Roman" w:hAnsi="Times New Roman" w:cs="Times New Roman"/>
                <w:b/>
                <w:bCs/>
                <w:sz w:val="24"/>
                <w:szCs w:val="24"/>
              </w:rPr>
              <w:t>H</w:t>
            </w:r>
          </w:p>
        </w:tc>
        <w:tc>
          <w:tcPr>
            <w:tcW w:w="2848" w:type="dxa"/>
            <w:tcBorders>
              <w:top w:val="single" w:sz="12" w:space="0" w:color="auto"/>
              <w:bottom w:val="single" w:sz="4" w:space="0" w:color="auto"/>
            </w:tcBorders>
          </w:tcPr>
          <w:p w14:paraId="71908978" w14:textId="77777777" w:rsidR="001E5CE1" w:rsidRDefault="001E5CE1" w:rsidP="00126893">
            <w:pPr>
              <w:spacing w:after="0"/>
              <w:jc w:val="center"/>
              <w:rPr>
                <w:rFonts w:ascii="Times New Roman" w:hAnsi="Times New Roman" w:cs="Times New Roman"/>
                <w:sz w:val="24"/>
                <w:szCs w:val="24"/>
              </w:rPr>
            </w:pPr>
          </w:p>
          <w:p w14:paraId="50F6C6CA" w14:textId="77777777" w:rsidR="001E5CE1"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37 (36.3%)</w:t>
            </w:r>
          </w:p>
          <w:p w14:paraId="26351983"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15 (14.7%)</w:t>
            </w:r>
          </w:p>
        </w:tc>
        <w:tc>
          <w:tcPr>
            <w:tcW w:w="2848" w:type="dxa"/>
            <w:tcBorders>
              <w:top w:val="single" w:sz="12" w:space="0" w:color="auto"/>
              <w:bottom w:val="single" w:sz="4" w:space="0" w:color="auto"/>
            </w:tcBorders>
          </w:tcPr>
          <w:p w14:paraId="5E20802B" w14:textId="77777777" w:rsidR="001E5CE1" w:rsidRDefault="001E5CE1" w:rsidP="00126893">
            <w:pPr>
              <w:spacing w:after="0"/>
              <w:jc w:val="center"/>
              <w:rPr>
                <w:rFonts w:ascii="Times New Roman" w:hAnsi="Times New Roman" w:cs="Times New Roman"/>
                <w:sz w:val="24"/>
                <w:szCs w:val="24"/>
              </w:rPr>
            </w:pPr>
          </w:p>
          <w:p w14:paraId="1FE1D9B3" w14:textId="77777777" w:rsidR="001E5CE1"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29 (28.4%)</w:t>
            </w:r>
          </w:p>
          <w:p w14:paraId="366966F8"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21</w:t>
            </w:r>
            <w:r>
              <w:rPr>
                <w:rFonts w:ascii="Times New Roman" w:hAnsi="Times New Roman" w:cs="Times New Roman"/>
                <w:sz w:val="24"/>
                <w:szCs w:val="24"/>
              </w:rPr>
              <w:t xml:space="preserve"> </w:t>
            </w:r>
            <w:r w:rsidRPr="00916264">
              <w:rPr>
                <w:rFonts w:ascii="Times New Roman" w:hAnsi="Times New Roman" w:cs="Times New Roman"/>
                <w:sz w:val="24"/>
                <w:szCs w:val="24"/>
              </w:rPr>
              <w:t>(20.6%)</w:t>
            </w:r>
          </w:p>
        </w:tc>
      </w:tr>
      <w:tr w:rsidR="001E5CE1" w:rsidRPr="00916264" w14:paraId="19AFD73A" w14:textId="77777777" w:rsidTr="00126893">
        <w:trPr>
          <w:jc w:val="center"/>
        </w:trPr>
        <w:tc>
          <w:tcPr>
            <w:tcW w:w="2268" w:type="dxa"/>
            <w:tcBorders>
              <w:top w:val="single" w:sz="4" w:space="0" w:color="auto"/>
              <w:bottom w:val="single" w:sz="4" w:space="0" w:color="auto"/>
            </w:tcBorders>
          </w:tcPr>
          <w:p w14:paraId="096FEB6F" w14:textId="77777777" w:rsidR="001E5CE1" w:rsidRPr="00916264" w:rsidRDefault="001E5CE1" w:rsidP="00126893">
            <w:pPr>
              <w:spacing w:after="0"/>
              <w:rPr>
                <w:rFonts w:ascii="Times New Roman" w:hAnsi="Times New Roman" w:cs="Times New Roman"/>
                <w:b/>
                <w:bCs/>
                <w:sz w:val="24"/>
                <w:szCs w:val="24"/>
              </w:rPr>
            </w:pPr>
            <w:r w:rsidRPr="00916264">
              <w:rPr>
                <w:rFonts w:ascii="Times New Roman" w:hAnsi="Times New Roman" w:cs="Times New Roman"/>
                <w:b/>
                <w:bCs/>
                <w:sz w:val="24"/>
                <w:szCs w:val="24"/>
              </w:rPr>
              <w:t>Edad</w:t>
            </w:r>
            <w:r>
              <w:rPr>
                <w:rFonts w:ascii="Times New Roman" w:hAnsi="Times New Roman" w:cs="Times New Roman"/>
                <w:b/>
                <w:bCs/>
                <w:sz w:val="24"/>
                <w:szCs w:val="24"/>
              </w:rPr>
              <w:t xml:space="preserve"> (años)</w:t>
            </w:r>
          </w:p>
        </w:tc>
        <w:tc>
          <w:tcPr>
            <w:tcW w:w="2848" w:type="dxa"/>
            <w:tcBorders>
              <w:top w:val="single" w:sz="4" w:space="0" w:color="auto"/>
              <w:bottom w:val="single" w:sz="4" w:space="0" w:color="auto"/>
            </w:tcBorders>
          </w:tcPr>
          <w:p w14:paraId="25A7BC25" w14:textId="77777777" w:rsidR="001E5CE1"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46.71±12.15</w:t>
            </w:r>
          </w:p>
          <w:p w14:paraId="2EE9A179"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(25-65)</w:t>
            </w:r>
          </w:p>
        </w:tc>
        <w:tc>
          <w:tcPr>
            <w:tcW w:w="2848" w:type="dxa"/>
            <w:tcBorders>
              <w:top w:val="single" w:sz="4" w:space="0" w:color="auto"/>
              <w:bottom w:val="single" w:sz="4" w:space="0" w:color="auto"/>
            </w:tcBorders>
          </w:tcPr>
          <w:p w14:paraId="53E4641D" w14:textId="77777777" w:rsidR="001E5CE1"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30.06±13.34</w:t>
            </w:r>
          </w:p>
          <w:p w14:paraId="7BE19F79"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(25-65)</w:t>
            </w:r>
          </w:p>
        </w:tc>
      </w:tr>
      <w:tr w:rsidR="001E5CE1" w:rsidRPr="00916264" w14:paraId="2DD15F6E" w14:textId="77777777" w:rsidTr="00126893">
        <w:trPr>
          <w:jc w:val="center"/>
        </w:trPr>
        <w:tc>
          <w:tcPr>
            <w:tcW w:w="2268" w:type="dxa"/>
            <w:tcBorders>
              <w:top w:val="single" w:sz="4" w:space="0" w:color="auto"/>
              <w:bottom w:val="single" w:sz="4" w:space="0" w:color="auto"/>
            </w:tcBorders>
          </w:tcPr>
          <w:p w14:paraId="09E07FB3" w14:textId="77777777" w:rsidR="001E5CE1" w:rsidRPr="00916264" w:rsidRDefault="001E5CE1" w:rsidP="00126893">
            <w:pPr>
              <w:spacing w:after="0"/>
              <w:rPr>
                <w:rFonts w:ascii="Times New Roman" w:hAnsi="Times New Roman" w:cs="Times New Roman"/>
                <w:b/>
                <w:bCs/>
                <w:sz w:val="24"/>
                <w:szCs w:val="24"/>
              </w:rPr>
            </w:pPr>
            <w:r w:rsidRPr="00916264">
              <w:rPr>
                <w:rFonts w:ascii="Times New Roman" w:hAnsi="Times New Roman" w:cs="Times New Roman"/>
                <w:b/>
                <w:bCs/>
                <w:sz w:val="24"/>
                <w:szCs w:val="24"/>
              </w:rPr>
              <w:t>IMC</w:t>
            </w:r>
            <w:r>
              <w:rPr>
                <w:rFonts w:ascii="Times New Roman" w:hAnsi="Times New Roman" w:cs="Times New Roman"/>
                <w:b/>
                <w:bCs/>
                <w:sz w:val="24"/>
                <w:szCs w:val="24"/>
              </w:rPr>
              <w:t xml:space="preserve"> (kg/m</w:t>
            </w:r>
            <w:r w:rsidRPr="0033021A">
              <w:rPr>
                <w:rFonts w:ascii="Times New Roman" w:hAnsi="Times New Roman" w:cs="Times New Roman"/>
                <w:b/>
                <w:bCs/>
                <w:sz w:val="24"/>
                <w:szCs w:val="24"/>
                <w:vertAlign w:val="superscript"/>
              </w:rPr>
              <w:t>2</w:t>
            </w:r>
            <w:r>
              <w:rPr>
                <w:rFonts w:ascii="Times New Roman" w:hAnsi="Times New Roman" w:cs="Times New Roman"/>
                <w:b/>
                <w:bCs/>
                <w:sz w:val="24"/>
                <w:szCs w:val="24"/>
              </w:rPr>
              <w:t>)</w:t>
            </w:r>
          </w:p>
        </w:tc>
        <w:tc>
          <w:tcPr>
            <w:tcW w:w="2848" w:type="dxa"/>
            <w:tcBorders>
              <w:top w:val="single" w:sz="4" w:space="0" w:color="auto"/>
              <w:bottom w:val="single" w:sz="4" w:space="0" w:color="auto"/>
            </w:tcBorders>
          </w:tcPr>
          <w:p w14:paraId="048FAF47"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26.66±3.65</w:t>
            </w:r>
          </w:p>
          <w:p w14:paraId="1743E194"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(23.31-38.45)</w:t>
            </w:r>
          </w:p>
        </w:tc>
        <w:tc>
          <w:tcPr>
            <w:tcW w:w="2848" w:type="dxa"/>
            <w:tcBorders>
              <w:top w:val="single" w:sz="4" w:space="0" w:color="auto"/>
              <w:bottom w:val="single" w:sz="4" w:space="0" w:color="auto"/>
            </w:tcBorders>
          </w:tcPr>
          <w:p w14:paraId="2231B9BE"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28.07±5.61</w:t>
            </w:r>
          </w:p>
          <w:p w14:paraId="68AF72BB"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(18.49-44.27)</w:t>
            </w:r>
          </w:p>
        </w:tc>
      </w:tr>
      <w:tr w:rsidR="001E5CE1" w:rsidRPr="00916264" w14:paraId="3F7F0938" w14:textId="77777777" w:rsidTr="00126893">
        <w:trPr>
          <w:jc w:val="center"/>
        </w:trPr>
        <w:tc>
          <w:tcPr>
            <w:tcW w:w="2268" w:type="dxa"/>
            <w:tcBorders>
              <w:top w:val="single" w:sz="4" w:space="0" w:color="auto"/>
              <w:bottom w:val="single" w:sz="4" w:space="0" w:color="auto"/>
            </w:tcBorders>
          </w:tcPr>
          <w:p w14:paraId="5446BD3A" w14:textId="77777777" w:rsidR="001E5CE1" w:rsidRPr="00916264" w:rsidRDefault="001E5CE1" w:rsidP="00126893">
            <w:pPr>
              <w:spacing w:after="0"/>
              <w:rPr>
                <w:rFonts w:ascii="Times New Roman" w:hAnsi="Times New Roman" w:cs="Times New Roman"/>
                <w:b/>
                <w:bCs/>
                <w:sz w:val="24"/>
                <w:szCs w:val="24"/>
              </w:rPr>
            </w:pPr>
            <w:r w:rsidRPr="00916264">
              <w:rPr>
                <w:rFonts w:ascii="Times New Roman" w:hAnsi="Times New Roman" w:cs="Times New Roman"/>
                <w:b/>
                <w:bCs/>
                <w:sz w:val="24"/>
                <w:szCs w:val="24"/>
              </w:rPr>
              <w:t>Glucosa</w:t>
            </w:r>
            <w:r>
              <w:rPr>
                <w:rFonts w:ascii="Times New Roman" w:hAnsi="Times New Roman" w:cs="Times New Roman"/>
                <w:b/>
                <w:bCs/>
                <w:sz w:val="24"/>
                <w:szCs w:val="24"/>
              </w:rPr>
              <w:t xml:space="preserve"> (mg/dL)</w:t>
            </w:r>
          </w:p>
        </w:tc>
        <w:tc>
          <w:tcPr>
            <w:tcW w:w="2848" w:type="dxa"/>
            <w:tcBorders>
              <w:top w:val="single" w:sz="4" w:space="0" w:color="auto"/>
              <w:bottom w:val="single" w:sz="4" w:space="0" w:color="auto"/>
            </w:tcBorders>
          </w:tcPr>
          <w:p w14:paraId="38D631BD"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94.55±10.15</w:t>
            </w:r>
          </w:p>
          <w:p w14:paraId="0C3EE712"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(75-123)</w:t>
            </w:r>
          </w:p>
        </w:tc>
        <w:tc>
          <w:tcPr>
            <w:tcW w:w="2848" w:type="dxa"/>
            <w:tcBorders>
              <w:top w:val="single" w:sz="4" w:space="0" w:color="auto"/>
              <w:bottom w:val="single" w:sz="4" w:space="0" w:color="auto"/>
            </w:tcBorders>
          </w:tcPr>
          <w:p w14:paraId="643354FC"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95.76±14.99</w:t>
            </w:r>
          </w:p>
          <w:p w14:paraId="20503146"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(75-151)</w:t>
            </w:r>
          </w:p>
        </w:tc>
      </w:tr>
      <w:tr w:rsidR="001E5CE1" w:rsidRPr="00916264" w14:paraId="5E92151D" w14:textId="77777777" w:rsidTr="00126893">
        <w:trPr>
          <w:jc w:val="center"/>
        </w:trPr>
        <w:tc>
          <w:tcPr>
            <w:tcW w:w="2268" w:type="dxa"/>
            <w:tcBorders>
              <w:top w:val="single" w:sz="4" w:space="0" w:color="auto"/>
              <w:bottom w:val="single" w:sz="4" w:space="0" w:color="auto"/>
            </w:tcBorders>
          </w:tcPr>
          <w:p w14:paraId="07918B6E" w14:textId="77777777" w:rsidR="001E5CE1" w:rsidRPr="00916264" w:rsidRDefault="001E5CE1" w:rsidP="00126893">
            <w:pPr>
              <w:spacing w:after="0"/>
              <w:rPr>
                <w:rFonts w:ascii="Times New Roman" w:hAnsi="Times New Roman" w:cs="Times New Roman"/>
                <w:b/>
                <w:bCs/>
                <w:sz w:val="24"/>
                <w:szCs w:val="24"/>
              </w:rPr>
            </w:pPr>
            <w:r w:rsidRPr="00916264">
              <w:rPr>
                <w:rFonts w:ascii="Times New Roman" w:hAnsi="Times New Roman" w:cs="Times New Roman"/>
                <w:b/>
                <w:bCs/>
                <w:sz w:val="24"/>
                <w:szCs w:val="24"/>
              </w:rPr>
              <w:t>HbA1c</w:t>
            </w:r>
            <w:r>
              <w:rPr>
                <w:rFonts w:ascii="Times New Roman" w:hAnsi="Times New Roman" w:cs="Times New Roman"/>
                <w:b/>
                <w:bCs/>
                <w:sz w:val="24"/>
                <w:szCs w:val="24"/>
              </w:rPr>
              <w:t xml:space="preserve"> (%)</w:t>
            </w:r>
          </w:p>
        </w:tc>
        <w:tc>
          <w:tcPr>
            <w:tcW w:w="2848" w:type="dxa"/>
            <w:tcBorders>
              <w:top w:val="single" w:sz="4" w:space="0" w:color="auto"/>
              <w:bottom w:val="single" w:sz="4" w:space="0" w:color="auto"/>
            </w:tcBorders>
          </w:tcPr>
          <w:p w14:paraId="759EA584" w14:textId="77777777" w:rsidR="001E5CE1" w:rsidRPr="00916264" w:rsidRDefault="001E5CE1" w:rsidP="00126893">
            <w:pPr>
              <w:spacing w:after="0"/>
              <w:jc w:val="center"/>
              <w:rPr>
                <w:rFonts w:ascii="Times New Roman" w:hAnsi="Times New Roman" w:cs="Times New Roman"/>
                <w:b/>
                <w:sz w:val="24"/>
                <w:szCs w:val="24"/>
              </w:rPr>
            </w:pPr>
            <w:r w:rsidRPr="00916264">
              <w:rPr>
                <w:rFonts w:ascii="Times New Roman" w:hAnsi="Times New Roman" w:cs="Times New Roman"/>
                <w:sz w:val="24"/>
                <w:szCs w:val="24"/>
              </w:rPr>
              <w:t>5.39±0.47</w:t>
            </w:r>
          </w:p>
          <w:p w14:paraId="6240BFBF"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(4.30-6.10)</w:t>
            </w:r>
          </w:p>
        </w:tc>
        <w:tc>
          <w:tcPr>
            <w:tcW w:w="2848" w:type="dxa"/>
            <w:tcBorders>
              <w:top w:val="single" w:sz="4" w:space="0" w:color="auto"/>
              <w:bottom w:val="single" w:sz="4" w:space="0" w:color="auto"/>
            </w:tcBorders>
          </w:tcPr>
          <w:p w14:paraId="6908F9E5" w14:textId="77777777" w:rsidR="001E5CE1" w:rsidRPr="00916264" w:rsidRDefault="001E5CE1" w:rsidP="00126893">
            <w:pPr>
              <w:spacing w:after="0"/>
              <w:jc w:val="center"/>
              <w:rPr>
                <w:rFonts w:ascii="Times New Roman" w:hAnsi="Times New Roman" w:cs="Times New Roman"/>
                <w:b/>
                <w:sz w:val="24"/>
                <w:szCs w:val="24"/>
              </w:rPr>
            </w:pPr>
            <w:r w:rsidRPr="00916264">
              <w:rPr>
                <w:rFonts w:ascii="Times New Roman" w:hAnsi="Times New Roman" w:cs="Times New Roman"/>
                <w:sz w:val="24"/>
                <w:szCs w:val="24"/>
              </w:rPr>
              <w:t>5.57±0.69</w:t>
            </w:r>
          </w:p>
          <w:p w14:paraId="1867BB88"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(4.00-8.30)</w:t>
            </w:r>
          </w:p>
        </w:tc>
      </w:tr>
      <w:tr w:rsidR="001E5CE1" w:rsidRPr="00916264" w14:paraId="3C4BACD7" w14:textId="77777777" w:rsidTr="00126893">
        <w:trPr>
          <w:jc w:val="center"/>
        </w:trPr>
        <w:tc>
          <w:tcPr>
            <w:tcW w:w="2268" w:type="dxa"/>
            <w:tcBorders>
              <w:top w:val="single" w:sz="4" w:space="0" w:color="auto"/>
              <w:bottom w:val="single" w:sz="4" w:space="0" w:color="auto"/>
            </w:tcBorders>
          </w:tcPr>
          <w:p w14:paraId="2540E908" w14:textId="77777777" w:rsidR="001E5CE1" w:rsidRPr="00916264" w:rsidRDefault="001E5CE1" w:rsidP="00126893">
            <w:pPr>
              <w:tabs>
                <w:tab w:val="center" w:pos="1026"/>
              </w:tabs>
              <w:spacing w:after="0"/>
              <w:rPr>
                <w:rFonts w:ascii="Times New Roman" w:hAnsi="Times New Roman" w:cs="Times New Roman"/>
                <w:b/>
                <w:bCs/>
                <w:sz w:val="24"/>
                <w:szCs w:val="24"/>
              </w:rPr>
            </w:pPr>
            <w:r w:rsidRPr="00916264">
              <w:rPr>
                <w:rFonts w:ascii="Times New Roman" w:hAnsi="Times New Roman" w:cs="Times New Roman"/>
                <w:b/>
                <w:bCs/>
                <w:sz w:val="24"/>
                <w:szCs w:val="24"/>
              </w:rPr>
              <w:t>PI</w:t>
            </w:r>
          </w:p>
        </w:tc>
        <w:tc>
          <w:tcPr>
            <w:tcW w:w="2848" w:type="dxa"/>
            <w:tcBorders>
              <w:top w:val="single" w:sz="4" w:space="0" w:color="auto"/>
              <w:bottom w:val="single" w:sz="4" w:space="0" w:color="auto"/>
            </w:tcBorders>
          </w:tcPr>
          <w:p w14:paraId="4638962C"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2.85±0.83*</w:t>
            </w:r>
          </w:p>
          <w:p w14:paraId="03E5EDA8"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(1.70-5.60)</w:t>
            </w:r>
          </w:p>
        </w:tc>
        <w:tc>
          <w:tcPr>
            <w:tcW w:w="2848" w:type="dxa"/>
            <w:tcBorders>
              <w:top w:val="single" w:sz="4" w:space="0" w:color="auto"/>
              <w:bottom w:val="single" w:sz="4" w:space="0" w:color="auto"/>
            </w:tcBorders>
          </w:tcPr>
          <w:p w14:paraId="26DAE714"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1.93±0.36</w:t>
            </w:r>
          </w:p>
          <w:p w14:paraId="36DFA1B7"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(1.50-3.60)</w:t>
            </w:r>
          </w:p>
        </w:tc>
      </w:tr>
    </w:tbl>
    <w:p w14:paraId="5AC36354" w14:textId="54EEF68C" w:rsidR="00B7396F" w:rsidRDefault="001E5CE1" w:rsidP="00F31442">
      <w:pPr>
        <w:rPr>
          <w:rFonts w:ascii="Times New Roman" w:hAnsi="Times New Roman" w:cs="Times New Roman"/>
          <w:sz w:val="21"/>
          <w:szCs w:val="24"/>
        </w:rPr>
      </w:pPr>
      <w:r w:rsidRPr="003F4C36">
        <w:rPr>
          <w:rFonts w:ascii="Times New Roman" w:hAnsi="Times New Roman" w:cs="Times New Roman"/>
          <w:sz w:val="21"/>
          <w:szCs w:val="24"/>
        </w:rPr>
        <w:t>N= número de individuos M= Mujeres H= Hombres DE= Desviación estándar PC= Periodontitis crónica HbA1C= Hemoglobina glicosilada PI= P</w:t>
      </w:r>
      <w:r>
        <w:rPr>
          <w:rFonts w:ascii="Times New Roman" w:hAnsi="Times New Roman" w:cs="Times New Roman"/>
          <w:sz w:val="21"/>
          <w:szCs w:val="24"/>
        </w:rPr>
        <w:t>é</w:t>
      </w:r>
      <w:r w:rsidRPr="003F4C36">
        <w:rPr>
          <w:rFonts w:ascii="Times New Roman" w:hAnsi="Times New Roman" w:cs="Times New Roman"/>
          <w:sz w:val="21"/>
          <w:szCs w:val="24"/>
        </w:rPr>
        <w:t xml:space="preserve">rdida de inserción </w:t>
      </w:r>
      <w:r>
        <w:rPr>
          <w:rFonts w:ascii="Times New Roman" w:hAnsi="Times New Roman" w:cs="Times New Roman"/>
          <w:sz w:val="21"/>
          <w:szCs w:val="24"/>
        </w:rPr>
        <w:t>*Diferencia significativa entre casos y controles</w:t>
      </w:r>
    </w:p>
    <w:p w14:paraId="6E753219" w14:textId="77777777" w:rsidR="001E5CE1" w:rsidRPr="001E5CE1" w:rsidRDefault="001E5CE1" w:rsidP="00F31442">
      <w:pPr>
        <w:rPr>
          <w:rFonts w:ascii="Times New Roman" w:hAnsi="Times New Roman" w:cs="Times New Roman"/>
          <w:sz w:val="21"/>
          <w:szCs w:val="24"/>
        </w:rPr>
      </w:pPr>
    </w:p>
    <w:p w14:paraId="53AC63F2" w14:textId="2FD579D7" w:rsidR="00054637" w:rsidRPr="00F705AB" w:rsidRDefault="0004710B" w:rsidP="00B7396F">
      <w:pPr>
        <w:tabs>
          <w:tab w:val="left" w:pos="1155"/>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Después de identificar las características clínicas se determinaron las frecuencias genotípicas y alélicas de ambos grupos para posteriormente realizar la comparación. En los casos, l</w:t>
      </w:r>
      <w:r w:rsidR="00054637" w:rsidRPr="00F705AB">
        <w:rPr>
          <w:rFonts w:ascii="Times New Roman" w:eastAsia="Calibri" w:hAnsi="Times New Roman" w:cs="Times New Roman"/>
          <w:sz w:val="24"/>
          <w:szCs w:val="24"/>
        </w:rPr>
        <w:t>as frecuencias genotípicas del polimorfismo</w:t>
      </w:r>
      <w:r w:rsidR="00054637">
        <w:rPr>
          <w:rFonts w:ascii="Times New Roman" w:eastAsia="Calibri" w:hAnsi="Times New Roman" w:cs="Times New Roman"/>
          <w:sz w:val="24"/>
          <w:szCs w:val="24"/>
        </w:rPr>
        <w:t xml:space="preserve"> g.</w:t>
      </w:r>
      <w:r w:rsidR="00054637" w:rsidRPr="00F705AB">
        <w:rPr>
          <w:rFonts w:ascii="Times New Roman" w:eastAsia="Calibri" w:hAnsi="Times New Roman" w:cs="Times New Roman"/>
          <w:sz w:val="24"/>
          <w:szCs w:val="24"/>
        </w:rPr>
        <w:t>-174 G</w:t>
      </w:r>
      <w:r w:rsidR="00054637">
        <w:rPr>
          <w:rFonts w:ascii="Times New Roman" w:eastAsia="Calibri" w:hAnsi="Times New Roman" w:cs="Times New Roman"/>
          <w:sz w:val="24"/>
          <w:szCs w:val="24"/>
        </w:rPr>
        <w:t>&gt;</w:t>
      </w:r>
      <w:r w:rsidR="00054637" w:rsidRPr="00F705AB">
        <w:rPr>
          <w:rFonts w:ascii="Times New Roman" w:eastAsia="Calibri" w:hAnsi="Times New Roman" w:cs="Times New Roman"/>
          <w:sz w:val="24"/>
          <w:szCs w:val="24"/>
        </w:rPr>
        <w:t xml:space="preserve">C </w:t>
      </w:r>
      <w:r>
        <w:rPr>
          <w:rFonts w:ascii="Times New Roman" w:eastAsia="Calibri" w:hAnsi="Times New Roman" w:cs="Times New Roman"/>
          <w:sz w:val="24"/>
          <w:szCs w:val="24"/>
        </w:rPr>
        <w:t xml:space="preserve">fueron del </w:t>
      </w:r>
      <w:r w:rsidRPr="00F705AB">
        <w:rPr>
          <w:rFonts w:ascii="Times New Roman" w:eastAsia="Calibri" w:hAnsi="Times New Roman" w:cs="Times New Roman"/>
          <w:sz w:val="24"/>
          <w:szCs w:val="24"/>
        </w:rPr>
        <w:t>90.4% (n= 47)</w:t>
      </w:r>
      <w:r>
        <w:rPr>
          <w:rFonts w:ascii="Times New Roman" w:eastAsia="Calibri" w:hAnsi="Times New Roman" w:cs="Times New Roman"/>
          <w:sz w:val="24"/>
          <w:szCs w:val="24"/>
        </w:rPr>
        <w:t xml:space="preserve"> </w:t>
      </w:r>
      <w:r w:rsidR="00054637" w:rsidRPr="00F705AB">
        <w:rPr>
          <w:rFonts w:ascii="Times New Roman" w:eastAsia="Calibri" w:hAnsi="Times New Roman" w:cs="Times New Roman"/>
          <w:sz w:val="24"/>
          <w:szCs w:val="24"/>
        </w:rPr>
        <w:t>para el genotipo</w:t>
      </w:r>
      <w:r w:rsidR="00054637">
        <w:rPr>
          <w:rFonts w:ascii="Times New Roman" w:eastAsia="Calibri" w:hAnsi="Times New Roman" w:cs="Times New Roman"/>
          <w:sz w:val="24"/>
          <w:szCs w:val="24"/>
        </w:rPr>
        <w:t xml:space="preserve"> homocigoto</w:t>
      </w:r>
      <w:r w:rsidR="00054637" w:rsidRPr="00F705AB">
        <w:rPr>
          <w:rFonts w:ascii="Times New Roman" w:eastAsia="Calibri" w:hAnsi="Times New Roman" w:cs="Times New Roman"/>
          <w:sz w:val="24"/>
          <w:szCs w:val="24"/>
        </w:rPr>
        <w:t xml:space="preserve"> silvestre GG</w:t>
      </w:r>
      <w:r>
        <w:rPr>
          <w:rFonts w:ascii="Times New Roman" w:eastAsia="Calibri" w:hAnsi="Times New Roman" w:cs="Times New Roman"/>
          <w:sz w:val="24"/>
          <w:szCs w:val="24"/>
        </w:rPr>
        <w:t>,</w:t>
      </w:r>
      <w:r w:rsidR="00054637">
        <w:rPr>
          <w:rFonts w:ascii="Times New Roman" w:eastAsia="Calibri" w:hAnsi="Times New Roman" w:cs="Times New Roman"/>
          <w:sz w:val="24"/>
          <w:szCs w:val="24"/>
        </w:rPr>
        <w:t xml:space="preserve"> </w:t>
      </w:r>
      <w:r w:rsidRPr="00F705AB">
        <w:rPr>
          <w:rFonts w:ascii="Times New Roman" w:eastAsia="Calibri" w:hAnsi="Times New Roman" w:cs="Times New Roman"/>
          <w:sz w:val="24"/>
          <w:szCs w:val="24"/>
        </w:rPr>
        <w:t xml:space="preserve">9.6% (n=5) </w:t>
      </w:r>
      <w:r>
        <w:rPr>
          <w:rFonts w:ascii="Times New Roman" w:eastAsia="Calibri" w:hAnsi="Times New Roman" w:cs="Times New Roman"/>
          <w:sz w:val="24"/>
          <w:szCs w:val="24"/>
        </w:rPr>
        <w:t xml:space="preserve">para el </w:t>
      </w:r>
      <w:r w:rsidR="00054637" w:rsidRPr="00F705AB">
        <w:rPr>
          <w:rFonts w:ascii="Times New Roman" w:eastAsia="Calibri" w:hAnsi="Times New Roman" w:cs="Times New Roman"/>
          <w:sz w:val="24"/>
          <w:szCs w:val="24"/>
        </w:rPr>
        <w:t xml:space="preserve">heterocigoto GC y </w:t>
      </w:r>
      <w:r w:rsidR="003B1587">
        <w:rPr>
          <w:rFonts w:ascii="Times New Roman" w:eastAsia="Calibri" w:hAnsi="Times New Roman" w:cs="Times New Roman"/>
          <w:sz w:val="24"/>
          <w:szCs w:val="24"/>
        </w:rPr>
        <w:t>no se observó el</w:t>
      </w:r>
      <w:r w:rsidR="00054637" w:rsidRPr="00F705AB">
        <w:rPr>
          <w:rFonts w:ascii="Times New Roman" w:eastAsia="Calibri" w:hAnsi="Times New Roman" w:cs="Times New Roman"/>
          <w:sz w:val="24"/>
          <w:szCs w:val="24"/>
        </w:rPr>
        <w:t xml:space="preserve"> homocigoto mutado CC. En el grupo de controles se presentó un 78% (n=39), 20% (n=10) y </w:t>
      </w:r>
      <w:r>
        <w:rPr>
          <w:rFonts w:ascii="Times New Roman" w:eastAsia="Calibri" w:hAnsi="Times New Roman" w:cs="Times New Roman"/>
          <w:sz w:val="24"/>
          <w:szCs w:val="24"/>
        </w:rPr>
        <w:t>2%</w:t>
      </w:r>
      <w:r w:rsidR="00054637" w:rsidRPr="00F705AB">
        <w:rPr>
          <w:rFonts w:ascii="Times New Roman" w:eastAsia="Calibri" w:hAnsi="Times New Roman" w:cs="Times New Roman"/>
          <w:sz w:val="24"/>
          <w:szCs w:val="24"/>
        </w:rPr>
        <w:t xml:space="preserve"> (n=1) </w:t>
      </w:r>
      <w:r>
        <w:rPr>
          <w:rFonts w:ascii="Times New Roman" w:eastAsia="Calibri" w:hAnsi="Times New Roman" w:cs="Times New Roman"/>
          <w:sz w:val="24"/>
          <w:szCs w:val="24"/>
        </w:rPr>
        <w:t>respectivamente</w:t>
      </w:r>
      <w:r w:rsidR="00054637" w:rsidRPr="00F705AB">
        <w:rPr>
          <w:rFonts w:ascii="Times New Roman" w:eastAsia="Calibri" w:hAnsi="Times New Roman" w:cs="Times New Roman"/>
          <w:sz w:val="24"/>
          <w:szCs w:val="24"/>
        </w:rPr>
        <w:t xml:space="preserve"> (Tabla </w:t>
      </w:r>
      <w:r>
        <w:rPr>
          <w:rFonts w:ascii="Times New Roman" w:eastAsia="Calibri" w:hAnsi="Times New Roman" w:cs="Times New Roman"/>
          <w:sz w:val="24"/>
          <w:szCs w:val="24"/>
        </w:rPr>
        <w:t>3</w:t>
      </w:r>
      <w:r w:rsidR="00054637" w:rsidRPr="00F705AB">
        <w:rPr>
          <w:rFonts w:ascii="Times New Roman" w:eastAsia="Calibri" w:hAnsi="Times New Roman" w:cs="Times New Roman"/>
          <w:sz w:val="24"/>
          <w:szCs w:val="24"/>
        </w:rPr>
        <w:t>).</w:t>
      </w:r>
    </w:p>
    <w:p w14:paraId="6969CCCE" w14:textId="04687D66" w:rsidR="00F31442" w:rsidRDefault="00F31442" w:rsidP="00B7396F">
      <w:pPr>
        <w:tabs>
          <w:tab w:val="left" w:pos="1155"/>
        </w:tabs>
        <w:spacing w:line="360" w:lineRule="auto"/>
        <w:jc w:val="both"/>
        <w:rPr>
          <w:rFonts w:ascii="Times New Roman" w:eastAsia="Calibri" w:hAnsi="Times New Roman" w:cs="Times New Roman"/>
          <w:sz w:val="24"/>
          <w:szCs w:val="24"/>
        </w:rPr>
      </w:pPr>
      <w:r w:rsidRPr="00F705AB">
        <w:rPr>
          <w:rFonts w:ascii="Times New Roman" w:eastAsia="Calibri" w:hAnsi="Times New Roman" w:cs="Times New Roman"/>
          <w:sz w:val="24"/>
          <w:szCs w:val="24"/>
        </w:rPr>
        <w:t>Con respecto a las frecuencias alélicas</w:t>
      </w:r>
      <w:r w:rsidR="00FD419E">
        <w:rPr>
          <w:rFonts w:ascii="Times New Roman" w:eastAsia="Calibri" w:hAnsi="Times New Roman" w:cs="Times New Roman"/>
          <w:sz w:val="24"/>
          <w:szCs w:val="24"/>
        </w:rPr>
        <w:t>, el alelo G</w:t>
      </w:r>
      <w:r w:rsidRPr="00F705AB">
        <w:rPr>
          <w:rFonts w:ascii="Times New Roman" w:eastAsia="Calibri" w:hAnsi="Times New Roman" w:cs="Times New Roman"/>
          <w:sz w:val="24"/>
          <w:szCs w:val="24"/>
        </w:rPr>
        <w:t xml:space="preserve"> se observó </w:t>
      </w:r>
      <w:r w:rsidR="00FD419E">
        <w:rPr>
          <w:rFonts w:ascii="Times New Roman" w:eastAsia="Calibri" w:hAnsi="Times New Roman" w:cs="Times New Roman"/>
          <w:sz w:val="24"/>
          <w:szCs w:val="24"/>
        </w:rPr>
        <w:t xml:space="preserve">en </w:t>
      </w:r>
      <w:r w:rsidRPr="00F705AB">
        <w:rPr>
          <w:rFonts w:ascii="Times New Roman" w:eastAsia="Calibri" w:hAnsi="Times New Roman" w:cs="Times New Roman"/>
          <w:sz w:val="24"/>
          <w:szCs w:val="24"/>
        </w:rPr>
        <w:t>un 95% (n=99) y</w:t>
      </w:r>
      <w:r w:rsidR="00FD419E">
        <w:rPr>
          <w:rFonts w:ascii="Times New Roman" w:eastAsia="Calibri" w:hAnsi="Times New Roman" w:cs="Times New Roman"/>
          <w:sz w:val="24"/>
          <w:szCs w:val="24"/>
        </w:rPr>
        <w:t xml:space="preserve"> el C</w:t>
      </w:r>
      <w:r w:rsidR="00BB11E0">
        <w:rPr>
          <w:rFonts w:ascii="Times New Roman" w:eastAsia="Calibri" w:hAnsi="Times New Roman" w:cs="Times New Roman"/>
          <w:sz w:val="24"/>
          <w:szCs w:val="24"/>
        </w:rPr>
        <w:t xml:space="preserve"> de riesgo en</w:t>
      </w:r>
      <w:r w:rsidRPr="00F705AB">
        <w:rPr>
          <w:rFonts w:ascii="Times New Roman" w:eastAsia="Calibri" w:hAnsi="Times New Roman" w:cs="Times New Roman"/>
          <w:sz w:val="24"/>
          <w:szCs w:val="24"/>
        </w:rPr>
        <w:t xml:space="preserve"> un </w:t>
      </w:r>
      <w:r w:rsidR="00785892">
        <w:rPr>
          <w:rFonts w:ascii="Times New Roman" w:eastAsia="Calibri" w:hAnsi="Times New Roman" w:cs="Times New Roman"/>
          <w:sz w:val="24"/>
          <w:szCs w:val="24"/>
        </w:rPr>
        <w:t>5</w:t>
      </w:r>
      <w:r w:rsidRPr="00F705AB">
        <w:rPr>
          <w:rFonts w:ascii="Times New Roman" w:eastAsia="Calibri" w:hAnsi="Times New Roman" w:cs="Times New Roman"/>
          <w:sz w:val="24"/>
          <w:szCs w:val="24"/>
        </w:rPr>
        <w:t xml:space="preserve">% (n=5) </w:t>
      </w:r>
      <w:r w:rsidR="00BB11E0">
        <w:rPr>
          <w:rFonts w:ascii="Times New Roman" w:eastAsia="Calibri" w:hAnsi="Times New Roman" w:cs="Times New Roman"/>
          <w:sz w:val="24"/>
          <w:szCs w:val="24"/>
        </w:rPr>
        <w:t>para</w:t>
      </w:r>
      <w:r w:rsidRPr="00F705AB">
        <w:rPr>
          <w:rFonts w:ascii="Times New Roman" w:eastAsia="Calibri" w:hAnsi="Times New Roman" w:cs="Times New Roman"/>
          <w:sz w:val="24"/>
          <w:szCs w:val="24"/>
        </w:rPr>
        <w:t xml:space="preserve"> los casos. En los controles </w:t>
      </w:r>
      <w:r w:rsidR="00BB11E0">
        <w:rPr>
          <w:rFonts w:ascii="Times New Roman" w:eastAsia="Calibri" w:hAnsi="Times New Roman" w:cs="Times New Roman"/>
          <w:sz w:val="24"/>
          <w:szCs w:val="24"/>
        </w:rPr>
        <w:t xml:space="preserve">se </w:t>
      </w:r>
      <w:r w:rsidRPr="00F705AB">
        <w:rPr>
          <w:rFonts w:ascii="Times New Roman" w:eastAsia="Calibri" w:hAnsi="Times New Roman" w:cs="Times New Roman"/>
          <w:sz w:val="24"/>
          <w:szCs w:val="24"/>
        </w:rPr>
        <w:t>observ</w:t>
      </w:r>
      <w:r w:rsidR="00BB11E0">
        <w:rPr>
          <w:rFonts w:ascii="Times New Roman" w:eastAsia="Calibri" w:hAnsi="Times New Roman" w:cs="Times New Roman"/>
          <w:sz w:val="24"/>
          <w:szCs w:val="24"/>
        </w:rPr>
        <w:t>ó</w:t>
      </w:r>
      <w:r w:rsidRPr="00F705AB">
        <w:rPr>
          <w:rFonts w:ascii="Times New Roman" w:eastAsia="Calibri" w:hAnsi="Times New Roman" w:cs="Times New Roman"/>
          <w:sz w:val="24"/>
          <w:szCs w:val="24"/>
        </w:rPr>
        <w:t xml:space="preserve"> un 88% (n=88) y 12% (n=12) </w:t>
      </w:r>
      <w:r w:rsidR="00BB11E0">
        <w:rPr>
          <w:rFonts w:ascii="Times New Roman" w:eastAsia="Calibri" w:hAnsi="Times New Roman" w:cs="Times New Roman"/>
          <w:sz w:val="24"/>
          <w:szCs w:val="24"/>
        </w:rPr>
        <w:t>respectivamente</w:t>
      </w:r>
      <w:r w:rsidRPr="00F705AB">
        <w:rPr>
          <w:rFonts w:ascii="Times New Roman" w:eastAsia="Calibri" w:hAnsi="Times New Roman" w:cs="Times New Roman"/>
          <w:sz w:val="24"/>
          <w:szCs w:val="24"/>
        </w:rPr>
        <w:t xml:space="preserve"> (Tabla </w:t>
      </w:r>
      <w:r w:rsidR="003B1587">
        <w:rPr>
          <w:rFonts w:ascii="Times New Roman" w:eastAsia="Calibri" w:hAnsi="Times New Roman" w:cs="Times New Roman"/>
          <w:sz w:val="24"/>
          <w:szCs w:val="24"/>
        </w:rPr>
        <w:t>3</w:t>
      </w:r>
      <w:r w:rsidRPr="00F705AB">
        <w:rPr>
          <w:rFonts w:ascii="Times New Roman" w:eastAsia="Calibri" w:hAnsi="Times New Roman" w:cs="Times New Roman"/>
          <w:sz w:val="24"/>
          <w:szCs w:val="24"/>
        </w:rPr>
        <w:t xml:space="preserve">). No se observó una asociación estadísticamente significativa entre el polimorfismo </w:t>
      </w:r>
      <w:r w:rsidRPr="00BB11E0">
        <w:rPr>
          <w:rFonts w:ascii="Times New Roman" w:eastAsia="Calibri" w:hAnsi="Times New Roman" w:cs="Times New Roman"/>
          <w:i/>
          <w:iCs/>
          <w:sz w:val="24"/>
          <w:szCs w:val="24"/>
        </w:rPr>
        <w:t>IL-6</w:t>
      </w:r>
      <w:r w:rsidRPr="00F705AB">
        <w:rPr>
          <w:rFonts w:ascii="Times New Roman" w:eastAsia="Calibri" w:hAnsi="Times New Roman" w:cs="Times New Roman"/>
          <w:sz w:val="24"/>
          <w:szCs w:val="24"/>
        </w:rPr>
        <w:t xml:space="preserve"> </w:t>
      </w:r>
      <w:r w:rsidR="00BB11E0">
        <w:rPr>
          <w:rFonts w:ascii="Times New Roman" w:eastAsia="Calibri" w:hAnsi="Times New Roman" w:cs="Times New Roman"/>
          <w:sz w:val="24"/>
          <w:szCs w:val="24"/>
        </w:rPr>
        <w:t>g.</w:t>
      </w:r>
      <w:r w:rsidRPr="00F705AB">
        <w:rPr>
          <w:rFonts w:ascii="Times New Roman" w:eastAsia="Calibri" w:hAnsi="Times New Roman" w:cs="Times New Roman"/>
          <w:sz w:val="24"/>
          <w:szCs w:val="24"/>
        </w:rPr>
        <w:t xml:space="preserve">-174G/C y la periodontitis crónica en </w:t>
      </w:r>
      <w:r w:rsidR="00BB11E0">
        <w:rPr>
          <w:rFonts w:ascii="Times New Roman" w:eastAsia="Calibri" w:hAnsi="Times New Roman" w:cs="Times New Roman"/>
          <w:sz w:val="24"/>
          <w:szCs w:val="24"/>
        </w:rPr>
        <w:t xml:space="preserve">la </w:t>
      </w:r>
      <w:r w:rsidRPr="00F705AB">
        <w:rPr>
          <w:rFonts w:ascii="Times New Roman" w:eastAsia="Calibri" w:hAnsi="Times New Roman" w:cs="Times New Roman"/>
          <w:sz w:val="24"/>
          <w:szCs w:val="24"/>
        </w:rPr>
        <w:t>población de estudio.</w:t>
      </w:r>
    </w:p>
    <w:p w14:paraId="379F6B3A" w14:textId="77777777" w:rsidR="00B7396F" w:rsidRDefault="00B7396F" w:rsidP="004A2C20">
      <w:pPr>
        <w:tabs>
          <w:tab w:val="left" w:pos="1155"/>
        </w:tabs>
        <w:spacing w:line="360" w:lineRule="auto"/>
        <w:jc w:val="both"/>
        <w:rPr>
          <w:rFonts w:ascii="Times New Roman" w:eastAsia="Calibri" w:hAnsi="Times New Roman" w:cs="Times New Roman"/>
          <w:sz w:val="24"/>
          <w:szCs w:val="24"/>
        </w:rPr>
      </w:pPr>
    </w:p>
    <w:p w14:paraId="1AE2ED2E" w14:textId="14D2DFD3" w:rsidR="00F31442" w:rsidRDefault="00F31442" w:rsidP="00B7396F">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Tabla </w:t>
      </w:r>
      <w:r w:rsidR="00473999">
        <w:rPr>
          <w:rFonts w:ascii="Times New Roman" w:hAnsi="Times New Roman" w:cs="Times New Roman"/>
          <w:sz w:val="24"/>
          <w:szCs w:val="24"/>
        </w:rPr>
        <w:t>3</w:t>
      </w:r>
      <w:r w:rsidRPr="00916264">
        <w:rPr>
          <w:rFonts w:ascii="Times New Roman" w:hAnsi="Times New Roman" w:cs="Times New Roman"/>
          <w:sz w:val="24"/>
          <w:szCs w:val="24"/>
        </w:rPr>
        <w:t>.</w:t>
      </w:r>
      <w:r w:rsidR="00531F0A">
        <w:rPr>
          <w:rFonts w:ascii="Times New Roman" w:hAnsi="Times New Roman" w:cs="Times New Roman"/>
          <w:sz w:val="24"/>
          <w:szCs w:val="24"/>
        </w:rPr>
        <w:t xml:space="preserve"> </w:t>
      </w:r>
      <w:r w:rsidRPr="00916264">
        <w:rPr>
          <w:rFonts w:ascii="Times New Roman" w:hAnsi="Times New Roman" w:cs="Times New Roman"/>
          <w:sz w:val="24"/>
          <w:szCs w:val="24"/>
        </w:rPr>
        <w:t>An</w:t>
      </w:r>
      <w:r w:rsidR="00473999">
        <w:rPr>
          <w:rFonts w:ascii="Times New Roman" w:hAnsi="Times New Roman" w:cs="Times New Roman"/>
          <w:sz w:val="24"/>
          <w:szCs w:val="24"/>
        </w:rPr>
        <w:t>á</w:t>
      </w:r>
      <w:r w:rsidRPr="00916264">
        <w:rPr>
          <w:rFonts w:ascii="Times New Roman" w:hAnsi="Times New Roman" w:cs="Times New Roman"/>
          <w:sz w:val="24"/>
          <w:szCs w:val="24"/>
        </w:rPr>
        <w:t>lisis de las frecuencias genotípicas y alélicas del polimorfismo</w:t>
      </w:r>
      <w:r w:rsidR="001915D9">
        <w:rPr>
          <w:rFonts w:ascii="Times New Roman" w:hAnsi="Times New Roman" w:cs="Times New Roman"/>
          <w:sz w:val="24"/>
          <w:szCs w:val="24"/>
        </w:rPr>
        <w:t xml:space="preserve"> g.</w:t>
      </w:r>
      <w:r w:rsidRPr="00916264">
        <w:rPr>
          <w:rFonts w:ascii="Times New Roman" w:hAnsi="Times New Roman" w:cs="Times New Roman"/>
          <w:sz w:val="24"/>
          <w:szCs w:val="24"/>
        </w:rPr>
        <w:t>-174 G</w:t>
      </w:r>
      <w:r w:rsidR="00473999">
        <w:rPr>
          <w:rFonts w:ascii="Times New Roman" w:hAnsi="Times New Roman" w:cs="Times New Roman"/>
          <w:sz w:val="24"/>
          <w:szCs w:val="24"/>
        </w:rPr>
        <w:t>&gt;</w:t>
      </w:r>
      <w:r w:rsidRPr="00916264">
        <w:rPr>
          <w:rFonts w:ascii="Times New Roman" w:hAnsi="Times New Roman" w:cs="Times New Roman"/>
          <w:sz w:val="24"/>
          <w:szCs w:val="24"/>
        </w:rPr>
        <w:t>C y su factor de riesgo asociado a la periodontitis crónica.</w:t>
      </w:r>
    </w:p>
    <w:tbl>
      <w:tblPr>
        <w:tblW w:w="8648" w:type="dxa"/>
        <w:tblLook w:val="06A0" w:firstRow="1" w:lastRow="0" w:firstColumn="1" w:lastColumn="0" w:noHBand="1" w:noVBand="1"/>
      </w:tblPr>
      <w:tblGrid>
        <w:gridCol w:w="1661"/>
        <w:gridCol w:w="1392"/>
        <w:gridCol w:w="1733"/>
        <w:gridCol w:w="2302"/>
        <w:gridCol w:w="1560"/>
      </w:tblGrid>
      <w:tr w:rsidR="001E5CE1" w:rsidRPr="00916264" w14:paraId="01D9FEC4" w14:textId="77777777" w:rsidTr="00126893">
        <w:tc>
          <w:tcPr>
            <w:tcW w:w="1661" w:type="dxa"/>
            <w:tcBorders>
              <w:top w:val="single" w:sz="18" w:space="0" w:color="auto"/>
              <w:bottom w:val="single" w:sz="18" w:space="0" w:color="auto"/>
            </w:tcBorders>
          </w:tcPr>
          <w:p w14:paraId="76E7CC07" w14:textId="77777777" w:rsidR="001E5CE1" w:rsidRPr="00916264" w:rsidRDefault="001E5CE1" w:rsidP="00126893">
            <w:pPr>
              <w:spacing w:after="0"/>
              <w:jc w:val="center"/>
              <w:rPr>
                <w:rFonts w:ascii="Times New Roman" w:hAnsi="Times New Roman" w:cs="Times New Roman"/>
                <w:b/>
                <w:bCs/>
                <w:sz w:val="24"/>
                <w:szCs w:val="24"/>
              </w:rPr>
            </w:pPr>
            <w:r w:rsidRPr="003B1587">
              <w:rPr>
                <w:rFonts w:ascii="Times New Roman" w:hAnsi="Times New Roman" w:cs="Times New Roman"/>
                <w:b/>
                <w:bCs/>
                <w:sz w:val="24"/>
                <w:szCs w:val="24"/>
              </w:rPr>
              <w:t>Frecuencias</w:t>
            </w:r>
          </w:p>
        </w:tc>
        <w:tc>
          <w:tcPr>
            <w:tcW w:w="1392" w:type="dxa"/>
            <w:tcBorders>
              <w:top w:val="single" w:sz="18" w:space="0" w:color="auto"/>
              <w:bottom w:val="single" w:sz="18" w:space="0" w:color="auto"/>
            </w:tcBorders>
          </w:tcPr>
          <w:p w14:paraId="358B2D18" w14:textId="77777777" w:rsidR="001E5CE1" w:rsidRPr="003B1587" w:rsidRDefault="001E5CE1" w:rsidP="00126893">
            <w:pPr>
              <w:spacing w:after="0"/>
              <w:jc w:val="center"/>
              <w:rPr>
                <w:rFonts w:ascii="Times New Roman" w:hAnsi="Times New Roman" w:cs="Times New Roman"/>
                <w:b/>
                <w:bCs/>
                <w:sz w:val="24"/>
                <w:szCs w:val="24"/>
              </w:rPr>
            </w:pPr>
            <w:r w:rsidRPr="003B1587">
              <w:rPr>
                <w:rFonts w:ascii="Times New Roman" w:hAnsi="Times New Roman" w:cs="Times New Roman"/>
                <w:b/>
                <w:bCs/>
                <w:sz w:val="24"/>
                <w:szCs w:val="24"/>
              </w:rPr>
              <w:t>Casos</w:t>
            </w:r>
          </w:p>
          <w:p w14:paraId="374DB1A2" w14:textId="77777777" w:rsidR="001E5CE1" w:rsidRPr="003B1587" w:rsidRDefault="001E5CE1" w:rsidP="00126893">
            <w:pPr>
              <w:spacing w:after="0"/>
              <w:jc w:val="center"/>
              <w:rPr>
                <w:rFonts w:ascii="Times New Roman" w:hAnsi="Times New Roman" w:cs="Times New Roman"/>
                <w:b/>
                <w:bCs/>
                <w:sz w:val="24"/>
                <w:szCs w:val="24"/>
              </w:rPr>
            </w:pPr>
            <w:r w:rsidRPr="003B1587">
              <w:rPr>
                <w:rFonts w:ascii="Times New Roman" w:hAnsi="Times New Roman" w:cs="Times New Roman"/>
                <w:b/>
                <w:bCs/>
                <w:sz w:val="24"/>
                <w:szCs w:val="24"/>
              </w:rPr>
              <w:t>N=52 (%)</w:t>
            </w:r>
          </w:p>
        </w:tc>
        <w:tc>
          <w:tcPr>
            <w:tcW w:w="1733" w:type="dxa"/>
            <w:tcBorders>
              <w:top w:val="single" w:sz="18" w:space="0" w:color="auto"/>
              <w:bottom w:val="single" w:sz="18" w:space="0" w:color="auto"/>
            </w:tcBorders>
          </w:tcPr>
          <w:p w14:paraId="3AA46B5E" w14:textId="77777777" w:rsidR="001E5CE1" w:rsidRPr="003B1587" w:rsidRDefault="001E5CE1" w:rsidP="00126893">
            <w:pPr>
              <w:spacing w:after="0"/>
              <w:jc w:val="center"/>
              <w:rPr>
                <w:rFonts w:ascii="Times New Roman" w:hAnsi="Times New Roman" w:cs="Times New Roman"/>
                <w:b/>
                <w:bCs/>
                <w:sz w:val="24"/>
                <w:szCs w:val="24"/>
              </w:rPr>
            </w:pPr>
            <w:r w:rsidRPr="003B1587">
              <w:rPr>
                <w:rFonts w:ascii="Times New Roman" w:hAnsi="Times New Roman" w:cs="Times New Roman"/>
                <w:b/>
                <w:bCs/>
                <w:sz w:val="24"/>
                <w:szCs w:val="24"/>
              </w:rPr>
              <w:t>Controles</w:t>
            </w:r>
          </w:p>
          <w:p w14:paraId="50B7D4FB" w14:textId="77777777" w:rsidR="001E5CE1" w:rsidRPr="003B1587" w:rsidRDefault="001E5CE1" w:rsidP="00126893">
            <w:pPr>
              <w:spacing w:after="0"/>
              <w:jc w:val="center"/>
              <w:rPr>
                <w:rFonts w:ascii="Times New Roman" w:hAnsi="Times New Roman" w:cs="Times New Roman"/>
                <w:b/>
                <w:bCs/>
                <w:sz w:val="24"/>
                <w:szCs w:val="24"/>
              </w:rPr>
            </w:pPr>
            <w:r w:rsidRPr="003B1587">
              <w:rPr>
                <w:rFonts w:ascii="Times New Roman" w:hAnsi="Times New Roman" w:cs="Times New Roman"/>
                <w:b/>
                <w:bCs/>
                <w:sz w:val="24"/>
                <w:szCs w:val="24"/>
              </w:rPr>
              <w:t>N=50 (%)</w:t>
            </w:r>
          </w:p>
        </w:tc>
        <w:tc>
          <w:tcPr>
            <w:tcW w:w="2302" w:type="dxa"/>
            <w:tcBorders>
              <w:top w:val="single" w:sz="18" w:space="0" w:color="auto"/>
              <w:bottom w:val="single" w:sz="18" w:space="0" w:color="auto"/>
            </w:tcBorders>
          </w:tcPr>
          <w:p w14:paraId="3772873D" w14:textId="77777777" w:rsidR="001E5CE1" w:rsidRPr="003B1587" w:rsidRDefault="001E5CE1" w:rsidP="00126893">
            <w:pPr>
              <w:spacing w:after="0"/>
              <w:jc w:val="center"/>
              <w:rPr>
                <w:rFonts w:ascii="Times New Roman" w:hAnsi="Times New Roman" w:cs="Times New Roman"/>
                <w:b/>
                <w:bCs/>
                <w:sz w:val="24"/>
                <w:szCs w:val="24"/>
              </w:rPr>
            </w:pPr>
            <w:r w:rsidRPr="003B1587">
              <w:rPr>
                <w:rFonts w:ascii="Times New Roman" w:hAnsi="Times New Roman" w:cs="Times New Roman"/>
                <w:b/>
                <w:bCs/>
                <w:sz w:val="24"/>
                <w:szCs w:val="24"/>
              </w:rPr>
              <w:t>OR (IC 95%)</w:t>
            </w:r>
          </w:p>
        </w:tc>
        <w:tc>
          <w:tcPr>
            <w:tcW w:w="1560" w:type="dxa"/>
            <w:tcBorders>
              <w:top w:val="single" w:sz="18" w:space="0" w:color="auto"/>
              <w:bottom w:val="single" w:sz="18" w:space="0" w:color="auto"/>
            </w:tcBorders>
          </w:tcPr>
          <w:p w14:paraId="3FBAF1C6" w14:textId="77777777" w:rsidR="001E5CE1" w:rsidRPr="003B1587" w:rsidRDefault="001E5CE1" w:rsidP="00126893">
            <w:pPr>
              <w:spacing w:after="0"/>
              <w:jc w:val="center"/>
              <w:rPr>
                <w:rFonts w:ascii="Times New Roman" w:hAnsi="Times New Roman" w:cs="Times New Roman"/>
                <w:b/>
                <w:bCs/>
                <w:sz w:val="24"/>
                <w:szCs w:val="24"/>
              </w:rPr>
            </w:pPr>
            <w:r w:rsidRPr="003B1587">
              <w:rPr>
                <w:rFonts w:ascii="Times New Roman" w:hAnsi="Times New Roman" w:cs="Times New Roman"/>
                <w:b/>
                <w:bCs/>
                <w:sz w:val="24"/>
                <w:szCs w:val="24"/>
              </w:rPr>
              <w:t>p</w:t>
            </w:r>
          </w:p>
        </w:tc>
      </w:tr>
      <w:tr w:rsidR="001E5CE1" w:rsidRPr="00916264" w14:paraId="5B97C97F" w14:textId="77777777" w:rsidTr="00126893">
        <w:tc>
          <w:tcPr>
            <w:tcW w:w="1661" w:type="dxa"/>
            <w:tcBorders>
              <w:top w:val="single" w:sz="18" w:space="0" w:color="auto"/>
              <w:bottom w:val="single" w:sz="12" w:space="0" w:color="auto"/>
            </w:tcBorders>
          </w:tcPr>
          <w:p w14:paraId="230F63C5" w14:textId="77777777" w:rsidR="001E5CE1" w:rsidRPr="00916264" w:rsidRDefault="001E5CE1" w:rsidP="00126893">
            <w:pPr>
              <w:spacing w:after="0"/>
              <w:rPr>
                <w:rFonts w:ascii="Times New Roman" w:hAnsi="Times New Roman" w:cs="Times New Roman"/>
                <w:b/>
                <w:bCs/>
                <w:sz w:val="24"/>
                <w:szCs w:val="24"/>
              </w:rPr>
            </w:pPr>
            <w:r>
              <w:rPr>
                <w:rFonts w:ascii="Times New Roman" w:hAnsi="Times New Roman" w:cs="Times New Roman"/>
                <w:b/>
                <w:bCs/>
                <w:sz w:val="24"/>
                <w:szCs w:val="24"/>
              </w:rPr>
              <w:t>Genotípicas</w:t>
            </w:r>
          </w:p>
        </w:tc>
        <w:tc>
          <w:tcPr>
            <w:tcW w:w="1392" w:type="dxa"/>
            <w:tcBorders>
              <w:top w:val="single" w:sz="18" w:space="0" w:color="auto"/>
              <w:bottom w:val="single" w:sz="12" w:space="0" w:color="auto"/>
            </w:tcBorders>
          </w:tcPr>
          <w:p w14:paraId="207349BF" w14:textId="77777777" w:rsidR="001E5CE1" w:rsidRPr="00916264" w:rsidRDefault="001E5CE1" w:rsidP="00126893">
            <w:pPr>
              <w:spacing w:after="0"/>
              <w:rPr>
                <w:rFonts w:ascii="Times New Roman" w:hAnsi="Times New Roman" w:cs="Times New Roman"/>
                <w:sz w:val="24"/>
                <w:szCs w:val="24"/>
              </w:rPr>
            </w:pPr>
          </w:p>
        </w:tc>
        <w:tc>
          <w:tcPr>
            <w:tcW w:w="1733" w:type="dxa"/>
            <w:tcBorders>
              <w:top w:val="single" w:sz="18" w:space="0" w:color="auto"/>
              <w:bottom w:val="single" w:sz="12" w:space="0" w:color="auto"/>
            </w:tcBorders>
          </w:tcPr>
          <w:p w14:paraId="01E0F251" w14:textId="77777777" w:rsidR="001E5CE1" w:rsidRPr="00916264" w:rsidRDefault="001E5CE1" w:rsidP="00126893">
            <w:pPr>
              <w:spacing w:after="0"/>
              <w:rPr>
                <w:rFonts w:ascii="Times New Roman" w:hAnsi="Times New Roman" w:cs="Times New Roman"/>
                <w:sz w:val="24"/>
                <w:szCs w:val="24"/>
              </w:rPr>
            </w:pPr>
          </w:p>
        </w:tc>
        <w:tc>
          <w:tcPr>
            <w:tcW w:w="2302" w:type="dxa"/>
            <w:tcBorders>
              <w:top w:val="single" w:sz="18" w:space="0" w:color="auto"/>
              <w:bottom w:val="single" w:sz="12" w:space="0" w:color="auto"/>
            </w:tcBorders>
          </w:tcPr>
          <w:p w14:paraId="2DBCBD4E" w14:textId="77777777" w:rsidR="001E5CE1" w:rsidRPr="00916264" w:rsidRDefault="001E5CE1" w:rsidP="00126893">
            <w:pPr>
              <w:spacing w:after="0"/>
              <w:rPr>
                <w:rFonts w:ascii="Times New Roman" w:hAnsi="Times New Roman" w:cs="Times New Roman"/>
                <w:sz w:val="24"/>
                <w:szCs w:val="24"/>
              </w:rPr>
            </w:pPr>
          </w:p>
        </w:tc>
        <w:tc>
          <w:tcPr>
            <w:tcW w:w="1560" w:type="dxa"/>
            <w:tcBorders>
              <w:top w:val="single" w:sz="18" w:space="0" w:color="auto"/>
              <w:bottom w:val="single" w:sz="12" w:space="0" w:color="auto"/>
            </w:tcBorders>
          </w:tcPr>
          <w:p w14:paraId="3CB735CD" w14:textId="77777777" w:rsidR="001E5CE1" w:rsidRPr="00916264" w:rsidRDefault="001E5CE1" w:rsidP="00126893">
            <w:pPr>
              <w:spacing w:after="0"/>
              <w:rPr>
                <w:rFonts w:ascii="Times New Roman" w:hAnsi="Times New Roman" w:cs="Times New Roman"/>
                <w:sz w:val="24"/>
                <w:szCs w:val="24"/>
              </w:rPr>
            </w:pPr>
          </w:p>
        </w:tc>
      </w:tr>
      <w:tr w:rsidR="001E5CE1" w:rsidRPr="00916264" w14:paraId="064956D4" w14:textId="77777777" w:rsidTr="00126893">
        <w:tc>
          <w:tcPr>
            <w:tcW w:w="1661" w:type="dxa"/>
            <w:tcBorders>
              <w:top w:val="single" w:sz="18" w:space="0" w:color="auto"/>
              <w:bottom w:val="nil"/>
            </w:tcBorders>
          </w:tcPr>
          <w:p w14:paraId="6919E6AD" w14:textId="77777777" w:rsidR="001E5CE1" w:rsidRDefault="001E5CE1" w:rsidP="00126893">
            <w:pPr>
              <w:spacing w:after="0"/>
              <w:rPr>
                <w:rFonts w:ascii="Times New Roman" w:hAnsi="Times New Roman" w:cs="Times New Roman"/>
                <w:b/>
                <w:bCs/>
                <w:sz w:val="24"/>
                <w:szCs w:val="24"/>
              </w:rPr>
            </w:pPr>
            <w:r>
              <w:rPr>
                <w:rFonts w:ascii="Times New Roman" w:hAnsi="Times New Roman" w:cs="Times New Roman"/>
                <w:b/>
                <w:bCs/>
                <w:sz w:val="24"/>
                <w:szCs w:val="24"/>
              </w:rPr>
              <w:t>GG</w:t>
            </w:r>
          </w:p>
        </w:tc>
        <w:tc>
          <w:tcPr>
            <w:tcW w:w="1392" w:type="dxa"/>
            <w:tcBorders>
              <w:top w:val="single" w:sz="18" w:space="0" w:color="auto"/>
              <w:bottom w:val="nil"/>
            </w:tcBorders>
          </w:tcPr>
          <w:p w14:paraId="21B35703"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47</w:t>
            </w:r>
            <w:r>
              <w:rPr>
                <w:rFonts w:ascii="Times New Roman" w:hAnsi="Times New Roman" w:cs="Times New Roman"/>
                <w:sz w:val="24"/>
                <w:szCs w:val="24"/>
              </w:rPr>
              <w:t xml:space="preserve"> (</w:t>
            </w:r>
            <w:r w:rsidRPr="00916264">
              <w:rPr>
                <w:rFonts w:ascii="Times New Roman" w:hAnsi="Times New Roman" w:cs="Times New Roman"/>
                <w:sz w:val="24"/>
                <w:szCs w:val="24"/>
              </w:rPr>
              <w:t>90.4</w:t>
            </w:r>
            <w:r>
              <w:rPr>
                <w:rFonts w:ascii="Times New Roman" w:hAnsi="Times New Roman" w:cs="Times New Roman"/>
                <w:sz w:val="24"/>
                <w:szCs w:val="24"/>
              </w:rPr>
              <w:t>)</w:t>
            </w:r>
          </w:p>
        </w:tc>
        <w:tc>
          <w:tcPr>
            <w:tcW w:w="1733" w:type="dxa"/>
            <w:tcBorders>
              <w:top w:val="single" w:sz="18" w:space="0" w:color="auto"/>
              <w:bottom w:val="nil"/>
            </w:tcBorders>
          </w:tcPr>
          <w:p w14:paraId="781DD199"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39</w:t>
            </w:r>
            <w:r>
              <w:rPr>
                <w:rFonts w:ascii="Times New Roman" w:hAnsi="Times New Roman" w:cs="Times New Roman"/>
                <w:sz w:val="24"/>
                <w:szCs w:val="24"/>
              </w:rPr>
              <w:t xml:space="preserve"> (</w:t>
            </w:r>
            <w:r w:rsidRPr="00916264">
              <w:rPr>
                <w:rFonts w:ascii="Times New Roman" w:hAnsi="Times New Roman" w:cs="Times New Roman"/>
                <w:sz w:val="24"/>
                <w:szCs w:val="24"/>
              </w:rPr>
              <w:t>78</w:t>
            </w:r>
            <w:r>
              <w:rPr>
                <w:rFonts w:ascii="Times New Roman" w:hAnsi="Times New Roman" w:cs="Times New Roman"/>
                <w:sz w:val="24"/>
                <w:szCs w:val="24"/>
              </w:rPr>
              <w:t>)</w:t>
            </w:r>
          </w:p>
        </w:tc>
        <w:tc>
          <w:tcPr>
            <w:tcW w:w="2302" w:type="dxa"/>
            <w:tcBorders>
              <w:top w:val="single" w:sz="18" w:space="0" w:color="auto"/>
              <w:bottom w:val="nil"/>
            </w:tcBorders>
          </w:tcPr>
          <w:p w14:paraId="2AFECDAC" w14:textId="77777777" w:rsidR="001E5CE1" w:rsidRPr="00916264" w:rsidRDefault="001E5CE1" w:rsidP="00126893">
            <w:pPr>
              <w:spacing w:after="0"/>
              <w:rPr>
                <w:rFonts w:ascii="Times New Roman" w:hAnsi="Times New Roman" w:cs="Times New Roman"/>
                <w:sz w:val="24"/>
                <w:szCs w:val="24"/>
              </w:rPr>
            </w:pPr>
            <w:r w:rsidRPr="00916264">
              <w:rPr>
                <w:rFonts w:ascii="Times New Roman" w:hAnsi="Times New Roman" w:cs="Times New Roman"/>
                <w:sz w:val="24"/>
                <w:szCs w:val="24"/>
              </w:rPr>
              <w:t>Referencia</w:t>
            </w:r>
          </w:p>
        </w:tc>
        <w:tc>
          <w:tcPr>
            <w:tcW w:w="1560" w:type="dxa"/>
            <w:tcBorders>
              <w:top w:val="single" w:sz="18" w:space="0" w:color="auto"/>
              <w:bottom w:val="nil"/>
            </w:tcBorders>
          </w:tcPr>
          <w:p w14:paraId="0C251954" w14:textId="77777777" w:rsidR="001E5CE1" w:rsidRPr="00916264" w:rsidRDefault="001E5CE1" w:rsidP="00126893">
            <w:pPr>
              <w:spacing w:after="0"/>
              <w:jc w:val="center"/>
              <w:rPr>
                <w:rFonts w:ascii="Times New Roman" w:hAnsi="Times New Roman" w:cs="Times New Roman"/>
                <w:sz w:val="24"/>
                <w:szCs w:val="24"/>
              </w:rPr>
            </w:pPr>
          </w:p>
        </w:tc>
      </w:tr>
      <w:tr w:rsidR="001E5CE1" w:rsidRPr="00916264" w14:paraId="404BDE37" w14:textId="77777777" w:rsidTr="00126893">
        <w:tc>
          <w:tcPr>
            <w:tcW w:w="1661" w:type="dxa"/>
            <w:tcBorders>
              <w:top w:val="nil"/>
            </w:tcBorders>
          </w:tcPr>
          <w:p w14:paraId="4694B60B" w14:textId="77777777" w:rsidR="001E5CE1" w:rsidRPr="00916264" w:rsidRDefault="001E5CE1" w:rsidP="00126893">
            <w:pPr>
              <w:spacing w:after="0"/>
              <w:rPr>
                <w:rFonts w:ascii="Times New Roman" w:hAnsi="Times New Roman" w:cs="Times New Roman"/>
                <w:b/>
                <w:bCs/>
                <w:sz w:val="24"/>
                <w:szCs w:val="24"/>
              </w:rPr>
            </w:pPr>
            <w:r>
              <w:rPr>
                <w:rFonts w:ascii="Times New Roman" w:hAnsi="Times New Roman" w:cs="Times New Roman"/>
                <w:b/>
                <w:bCs/>
                <w:sz w:val="24"/>
                <w:szCs w:val="24"/>
              </w:rPr>
              <w:t>GC</w:t>
            </w:r>
          </w:p>
        </w:tc>
        <w:tc>
          <w:tcPr>
            <w:tcW w:w="1392" w:type="dxa"/>
            <w:tcBorders>
              <w:top w:val="nil"/>
            </w:tcBorders>
          </w:tcPr>
          <w:p w14:paraId="52189238"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5</w:t>
            </w:r>
            <w:r>
              <w:rPr>
                <w:rFonts w:ascii="Times New Roman" w:hAnsi="Times New Roman" w:cs="Times New Roman"/>
                <w:sz w:val="24"/>
                <w:szCs w:val="24"/>
              </w:rPr>
              <w:t xml:space="preserve"> (</w:t>
            </w:r>
            <w:r w:rsidRPr="00916264">
              <w:rPr>
                <w:rFonts w:ascii="Times New Roman" w:hAnsi="Times New Roman" w:cs="Times New Roman"/>
                <w:sz w:val="24"/>
                <w:szCs w:val="24"/>
              </w:rPr>
              <w:t>9.6</w:t>
            </w:r>
            <w:r>
              <w:rPr>
                <w:rFonts w:ascii="Times New Roman" w:hAnsi="Times New Roman" w:cs="Times New Roman"/>
                <w:sz w:val="24"/>
                <w:szCs w:val="24"/>
              </w:rPr>
              <w:t>)</w:t>
            </w:r>
          </w:p>
        </w:tc>
        <w:tc>
          <w:tcPr>
            <w:tcW w:w="1733" w:type="dxa"/>
            <w:tcBorders>
              <w:top w:val="nil"/>
              <w:right w:val="nil"/>
            </w:tcBorders>
          </w:tcPr>
          <w:p w14:paraId="13AE6076"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10</w:t>
            </w:r>
            <w:r>
              <w:rPr>
                <w:rFonts w:ascii="Times New Roman" w:hAnsi="Times New Roman" w:cs="Times New Roman"/>
                <w:sz w:val="24"/>
                <w:szCs w:val="24"/>
              </w:rPr>
              <w:t xml:space="preserve"> (</w:t>
            </w:r>
            <w:r w:rsidRPr="00916264">
              <w:rPr>
                <w:rFonts w:ascii="Times New Roman" w:hAnsi="Times New Roman" w:cs="Times New Roman"/>
                <w:sz w:val="24"/>
                <w:szCs w:val="24"/>
              </w:rPr>
              <w:t>2</w:t>
            </w:r>
            <w:r>
              <w:rPr>
                <w:rFonts w:ascii="Times New Roman" w:hAnsi="Times New Roman" w:cs="Times New Roman"/>
                <w:sz w:val="24"/>
                <w:szCs w:val="24"/>
              </w:rPr>
              <w:t>0)</w:t>
            </w:r>
          </w:p>
        </w:tc>
        <w:tc>
          <w:tcPr>
            <w:tcW w:w="2302" w:type="dxa"/>
            <w:tcBorders>
              <w:top w:val="nil"/>
              <w:right w:val="nil"/>
            </w:tcBorders>
          </w:tcPr>
          <w:p w14:paraId="23B75AD9"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0.414</w:t>
            </w:r>
            <w:r>
              <w:rPr>
                <w:rFonts w:ascii="Times New Roman" w:hAnsi="Times New Roman" w:cs="Times New Roman"/>
                <w:sz w:val="24"/>
                <w:szCs w:val="24"/>
              </w:rPr>
              <w:t xml:space="preserve"> </w:t>
            </w:r>
            <w:r w:rsidRPr="00916264">
              <w:rPr>
                <w:rFonts w:ascii="Times New Roman" w:hAnsi="Times New Roman" w:cs="Times New Roman"/>
                <w:sz w:val="24"/>
                <w:szCs w:val="24"/>
              </w:rPr>
              <w:t>(0.130-1.13)</w:t>
            </w:r>
          </w:p>
        </w:tc>
        <w:tc>
          <w:tcPr>
            <w:tcW w:w="1560" w:type="dxa"/>
            <w:tcBorders>
              <w:top w:val="nil"/>
              <w:right w:val="nil"/>
            </w:tcBorders>
          </w:tcPr>
          <w:p w14:paraId="4C24F15A"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0.135</w:t>
            </w:r>
          </w:p>
        </w:tc>
      </w:tr>
      <w:tr w:rsidR="001E5CE1" w:rsidRPr="00916264" w14:paraId="5B8745A8" w14:textId="77777777" w:rsidTr="00126893">
        <w:tc>
          <w:tcPr>
            <w:tcW w:w="1661" w:type="dxa"/>
            <w:tcBorders>
              <w:bottom w:val="single" w:sz="12" w:space="0" w:color="auto"/>
            </w:tcBorders>
          </w:tcPr>
          <w:p w14:paraId="3998B9A0" w14:textId="77777777" w:rsidR="001E5CE1" w:rsidRPr="00916264" w:rsidRDefault="001E5CE1" w:rsidP="00126893">
            <w:pPr>
              <w:spacing w:after="0"/>
              <w:rPr>
                <w:rFonts w:ascii="Times New Roman" w:hAnsi="Times New Roman" w:cs="Times New Roman"/>
                <w:b/>
                <w:bCs/>
                <w:sz w:val="24"/>
                <w:szCs w:val="24"/>
              </w:rPr>
            </w:pPr>
            <w:r>
              <w:rPr>
                <w:rFonts w:ascii="Times New Roman" w:hAnsi="Times New Roman" w:cs="Times New Roman"/>
                <w:b/>
                <w:bCs/>
                <w:sz w:val="24"/>
                <w:szCs w:val="24"/>
              </w:rPr>
              <w:t>CC</w:t>
            </w:r>
          </w:p>
        </w:tc>
        <w:tc>
          <w:tcPr>
            <w:tcW w:w="1392" w:type="dxa"/>
            <w:tcBorders>
              <w:bottom w:val="single" w:sz="12" w:space="0" w:color="auto"/>
            </w:tcBorders>
          </w:tcPr>
          <w:p w14:paraId="3315FA34"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0</w:t>
            </w:r>
            <w:r>
              <w:rPr>
                <w:rFonts w:ascii="Times New Roman" w:hAnsi="Times New Roman" w:cs="Times New Roman"/>
                <w:sz w:val="24"/>
                <w:szCs w:val="24"/>
              </w:rPr>
              <w:t xml:space="preserve"> (0)</w:t>
            </w:r>
          </w:p>
        </w:tc>
        <w:tc>
          <w:tcPr>
            <w:tcW w:w="1733" w:type="dxa"/>
            <w:tcBorders>
              <w:bottom w:val="single" w:sz="12" w:space="0" w:color="auto"/>
            </w:tcBorders>
          </w:tcPr>
          <w:p w14:paraId="6D2C76E1"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1</w:t>
            </w:r>
            <w:r>
              <w:rPr>
                <w:rFonts w:ascii="Times New Roman" w:hAnsi="Times New Roman" w:cs="Times New Roman"/>
                <w:sz w:val="24"/>
                <w:szCs w:val="24"/>
              </w:rPr>
              <w:t xml:space="preserve"> (</w:t>
            </w:r>
            <w:r w:rsidRPr="00916264">
              <w:rPr>
                <w:rFonts w:ascii="Times New Roman" w:hAnsi="Times New Roman" w:cs="Times New Roman"/>
                <w:sz w:val="24"/>
                <w:szCs w:val="24"/>
              </w:rPr>
              <w:t>2</w:t>
            </w:r>
            <w:r>
              <w:rPr>
                <w:rFonts w:ascii="Times New Roman" w:hAnsi="Times New Roman" w:cs="Times New Roman"/>
                <w:sz w:val="24"/>
                <w:szCs w:val="24"/>
              </w:rPr>
              <w:t>)</w:t>
            </w:r>
          </w:p>
        </w:tc>
        <w:tc>
          <w:tcPr>
            <w:tcW w:w="2302" w:type="dxa"/>
            <w:tcBorders>
              <w:bottom w:val="single" w:sz="12" w:space="0" w:color="auto"/>
            </w:tcBorders>
          </w:tcPr>
          <w:p w14:paraId="5DD97558"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0.277 (0.11-6.9</w:t>
            </w:r>
            <w:r>
              <w:rPr>
                <w:rFonts w:ascii="Times New Roman" w:hAnsi="Times New Roman" w:cs="Times New Roman"/>
                <w:sz w:val="24"/>
                <w:szCs w:val="24"/>
              </w:rPr>
              <w:t>7</w:t>
            </w:r>
            <w:r w:rsidRPr="00916264">
              <w:rPr>
                <w:rFonts w:ascii="Times New Roman" w:hAnsi="Times New Roman" w:cs="Times New Roman"/>
                <w:sz w:val="24"/>
                <w:szCs w:val="24"/>
              </w:rPr>
              <w:t>)</w:t>
            </w:r>
          </w:p>
        </w:tc>
        <w:tc>
          <w:tcPr>
            <w:tcW w:w="1560" w:type="dxa"/>
            <w:tcBorders>
              <w:bottom w:val="single" w:sz="12" w:space="0" w:color="auto"/>
            </w:tcBorders>
          </w:tcPr>
          <w:p w14:paraId="7A77A87A" w14:textId="77777777" w:rsidR="001E5CE1" w:rsidRPr="00916264" w:rsidRDefault="001E5CE1" w:rsidP="00126893">
            <w:pPr>
              <w:spacing w:after="0"/>
              <w:jc w:val="center"/>
              <w:rPr>
                <w:rFonts w:ascii="Times New Roman" w:hAnsi="Times New Roman" w:cs="Times New Roman"/>
                <w:sz w:val="24"/>
                <w:szCs w:val="24"/>
              </w:rPr>
            </w:pPr>
            <w:r w:rsidRPr="00916264">
              <w:rPr>
                <w:rFonts w:ascii="Times New Roman" w:hAnsi="Times New Roman" w:cs="Times New Roman"/>
                <w:sz w:val="24"/>
                <w:szCs w:val="24"/>
              </w:rPr>
              <w:t>0.436</w:t>
            </w:r>
          </w:p>
        </w:tc>
      </w:tr>
      <w:tr w:rsidR="001E5CE1" w:rsidRPr="00916264" w14:paraId="0BBED4F9" w14:textId="77777777" w:rsidTr="00126893">
        <w:tc>
          <w:tcPr>
            <w:tcW w:w="1661" w:type="dxa"/>
            <w:tcBorders>
              <w:top w:val="single" w:sz="12" w:space="0" w:color="auto"/>
              <w:bottom w:val="single" w:sz="12" w:space="0" w:color="auto"/>
            </w:tcBorders>
          </w:tcPr>
          <w:p w14:paraId="6F882940" w14:textId="77777777" w:rsidR="001E5CE1" w:rsidRPr="00916264" w:rsidRDefault="001E5CE1" w:rsidP="00126893">
            <w:pPr>
              <w:spacing w:after="0"/>
              <w:rPr>
                <w:rFonts w:ascii="Times New Roman" w:hAnsi="Times New Roman" w:cs="Times New Roman"/>
                <w:b/>
                <w:bCs/>
                <w:sz w:val="24"/>
                <w:szCs w:val="24"/>
              </w:rPr>
            </w:pPr>
            <w:r>
              <w:rPr>
                <w:rFonts w:ascii="Times New Roman" w:hAnsi="Times New Roman" w:cs="Times New Roman"/>
                <w:b/>
                <w:bCs/>
                <w:sz w:val="24"/>
                <w:szCs w:val="24"/>
              </w:rPr>
              <w:t>Alélicas</w:t>
            </w:r>
            <w:r w:rsidRPr="00916264">
              <w:rPr>
                <w:rFonts w:ascii="Times New Roman" w:hAnsi="Times New Roman" w:cs="Times New Roman"/>
                <w:b/>
                <w:bCs/>
                <w:sz w:val="24"/>
                <w:szCs w:val="24"/>
              </w:rPr>
              <w:t xml:space="preserve"> </w:t>
            </w:r>
          </w:p>
        </w:tc>
        <w:tc>
          <w:tcPr>
            <w:tcW w:w="1392" w:type="dxa"/>
            <w:tcBorders>
              <w:top w:val="single" w:sz="12" w:space="0" w:color="auto"/>
              <w:bottom w:val="single" w:sz="12" w:space="0" w:color="auto"/>
            </w:tcBorders>
          </w:tcPr>
          <w:p w14:paraId="55A379AE" w14:textId="77777777" w:rsidR="001E5CE1" w:rsidRPr="001915D9" w:rsidRDefault="001E5CE1" w:rsidP="00126893">
            <w:pPr>
              <w:spacing w:after="0"/>
              <w:jc w:val="center"/>
              <w:rPr>
                <w:rFonts w:ascii="Times New Roman" w:hAnsi="Times New Roman" w:cs="Times New Roman"/>
                <w:b/>
                <w:bCs/>
                <w:sz w:val="24"/>
                <w:szCs w:val="24"/>
              </w:rPr>
            </w:pPr>
          </w:p>
        </w:tc>
        <w:tc>
          <w:tcPr>
            <w:tcW w:w="1733" w:type="dxa"/>
            <w:tcBorders>
              <w:top w:val="single" w:sz="12" w:space="0" w:color="auto"/>
              <w:bottom w:val="single" w:sz="12" w:space="0" w:color="auto"/>
            </w:tcBorders>
          </w:tcPr>
          <w:p w14:paraId="7B7FE4BE" w14:textId="77777777" w:rsidR="001E5CE1" w:rsidRPr="001915D9" w:rsidRDefault="001E5CE1" w:rsidP="00126893">
            <w:pPr>
              <w:spacing w:after="0"/>
              <w:jc w:val="center"/>
              <w:rPr>
                <w:rFonts w:ascii="Times New Roman" w:hAnsi="Times New Roman" w:cs="Times New Roman"/>
                <w:b/>
                <w:bCs/>
                <w:sz w:val="24"/>
                <w:szCs w:val="24"/>
              </w:rPr>
            </w:pPr>
          </w:p>
        </w:tc>
        <w:tc>
          <w:tcPr>
            <w:tcW w:w="2302" w:type="dxa"/>
            <w:tcBorders>
              <w:top w:val="single" w:sz="12" w:space="0" w:color="auto"/>
              <w:bottom w:val="single" w:sz="12" w:space="0" w:color="auto"/>
            </w:tcBorders>
          </w:tcPr>
          <w:p w14:paraId="747759BC" w14:textId="77777777" w:rsidR="001E5CE1" w:rsidRPr="001915D9" w:rsidRDefault="001E5CE1" w:rsidP="00126893">
            <w:pPr>
              <w:spacing w:after="0"/>
              <w:rPr>
                <w:rFonts w:ascii="Times New Roman" w:hAnsi="Times New Roman" w:cs="Times New Roman"/>
                <w:b/>
                <w:bCs/>
                <w:sz w:val="24"/>
                <w:szCs w:val="24"/>
              </w:rPr>
            </w:pPr>
          </w:p>
        </w:tc>
        <w:tc>
          <w:tcPr>
            <w:tcW w:w="1560" w:type="dxa"/>
            <w:tcBorders>
              <w:top w:val="single" w:sz="12" w:space="0" w:color="auto"/>
              <w:bottom w:val="single" w:sz="12" w:space="0" w:color="auto"/>
            </w:tcBorders>
          </w:tcPr>
          <w:p w14:paraId="21BA864C" w14:textId="77777777" w:rsidR="001E5CE1" w:rsidRPr="001915D9" w:rsidRDefault="001E5CE1" w:rsidP="00126893">
            <w:pPr>
              <w:spacing w:after="0"/>
              <w:jc w:val="center"/>
              <w:rPr>
                <w:rFonts w:ascii="Times New Roman" w:hAnsi="Times New Roman" w:cs="Times New Roman"/>
                <w:b/>
                <w:bCs/>
                <w:sz w:val="24"/>
                <w:szCs w:val="24"/>
              </w:rPr>
            </w:pPr>
          </w:p>
        </w:tc>
      </w:tr>
      <w:tr w:rsidR="001E5CE1" w:rsidRPr="00916264" w14:paraId="2B334824" w14:textId="77777777" w:rsidTr="00126893">
        <w:tc>
          <w:tcPr>
            <w:tcW w:w="1661" w:type="dxa"/>
            <w:tcBorders>
              <w:top w:val="single" w:sz="12" w:space="0" w:color="auto"/>
            </w:tcBorders>
          </w:tcPr>
          <w:p w14:paraId="32FD1340" w14:textId="77777777" w:rsidR="001E5CE1" w:rsidRPr="00916264" w:rsidRDefault="001E5CE1" w:rsidP="00126893">
            <w:pPr>
              <w:spacing w:after="0"/>
              <w:rPr>
                <w:rFonts w:ascii="Times New Roman" w:hAnsi="Times New Roman" w:cs="Times New Roman"/>
                <w:b/>
                <w:bCs/>
                <w:sz w:val="24"/>
                <w:szCs w:val="24"/>
              </w:rPr>
            </w:pPr>
            <w:r w:rsidRPr="00916264">
              <w:rPr>
                <w:rFonts w:ascii="Times New Roman" w:hAnsi="Times New Roman" w:cs="Times New Roman"/>
                <w:b/>
                <w:bCs/>
                <w:sz w:val="24"/>
                <w:szCs w:val="24"/>
              </w:rPr>
              <w:t>G</w:t>
            </w:r>
          </w:p>
        </w:tc>
        <w:tc>
          <w:tcPr>
            <w:tcW w:w="1392" w:type="dxa"/>
            <w:tcBorders>
              <w:top w:val="single" w:sz="12" w:space="0" w:color="auto"/>
            </w:tcBorders>
          </w:tcPr>
          <w:p w14:paraId="31D839F8" w14:textId="77777777" w:rsidR="001E5CE1" w:rsidRPr="00916264" w:rsidRDefault="001E5CE1" w:rsidP="00126893">
            <w:pPr>
              <w:spacing w:after="0"/>
              <w:jc w:val="center"/>
              <w:rPr>
                <w:rFonts w:ascii="Times New Roman" w:hAnsi="Times New Roman" w:cs="Times New Roman"/>
                <w:sz w:val="24"/>
                <w:szCs w:val="24"/>
              </w:rPr>
            </w:pPr>
            <w:r>
              <w:rPr>
                <w:rFonts w:ascii="Times New Roman" w:hAnsi="Times New Roman" w:cs="Times New Roman"/>
                <w:sz w:val="24"/>
                <w:szCs w:val="24"/>
              </w:rPr>
              <w:t>99 (</w:t>
            </w:r>
            <w:r w:rsidRPr="00916264">
              <w:rPr>
                <w:rFonts w:ascii="Times New Roman" w:hAnsi="Times New Roman" w:cs="Times New Roman"/>
                <w:sz w:val="24"/>
                <w:szCs w:val="24"/>
              </w:rPr>
              <w:t>95</w:t>
            </w:r>
            <w:r>
              <w:rPr>
                <w:rFonts w:ascii="Times New Roman" w:hAnsi="Times New Roman" w:cs="Times New Roman"/>
                <w:sz w:val="24"/>
                <w:szCs w:val="24"/>
              </w:rPr>
              <w:t>)</w:t>
            </w:r>
          </w:p>
        </w:tc>
        <w:tc>
          <w:tcPr>
            <w:tcW w:w="1733" w:type="dxa"/>
            <w:tcBorders>
              <w:top w:val="single" w:sz="12" w:space="0" w:color="auto"/>
            </w:tcBorders>
          </w:tcPr>
          <w:p w14:paraId="4F34B004" w14:textId="77777777" w:rsidR="001E5CE1" w:rsidRPr="00916264" w:rsidRDefault="001E5CE1" w:rsidP="00126893">
            <w:pPr>
              <w:spacing w:after="0"/>
              <w:jc w:val="center"/>
              <w:rPr>
                <w:rFonts w:ascii="Times New Roman" w:hAnsi="Times New Roman" w:cs="Times New Roman"/>
                <w:sz w:val="24"/>
                <w:szCs w:val="24"/>
              </w:rPr>
            </w:pPr>
            <w:r>
              <w:rPr>
                <w:rFonts w:ascii="Times New Roman" w:hAnsi="Times New Roman" w:cs="Times New Roman"/>
                <w:sz w:val="24"/>
                <w:szCs w:val="24"/>
              </w:rPr>
              <w:t>88 (</w:t>
            </w:r>
            <w:r w:rsidRPr="00916264">
              <w:rPr>
                <w:rFonts w:ascii="Times New Roman" w:hAnsi="Times New Roman" w:cs="Times New Roman"/>
                <w:sz w:val="24"/>
                <w:szCs w:val="24"/>
              </w:rPr>
              <w:t>88</w:t>
            </w:r>
            <w:r>
              <w:rPr>
                <w:rFonts w:ascii="Times New Roman" w:hAnsi="Times New Roman" w:cs="Times New Roman"/>
                <w:sz w:val="24"/>
                <w:szCs w:val="24"/>
              </w:rPr>
              <w:t>)</w:t>
            </w:r>
          </w:p>
        </w:tc>
        <w:tc>
          <w:tcPr>
            <w:tcW w:w="2302" w:type="dxa"/>
            <w:tcBorders>
              <w:top w:val="single" w:sz="12" w:space="0" w:color="auto"/>
            </w:tcBorders>
          </w:tcPr>
          <w:p w14:paraId="335169E3" w14:textId="77777777" w:rsidR="001E5CE1" w:rsidRDefault="001E5CE1" w:rsidP="00126893">
            <w:pPr>
              <w:spacing w:after="0"/>
              <w:rPr>
                <w:rFonts w:ascii="Times New Roman" w:hAnsi="Times New Roman" w:cs="Times New Roman"/>
                <w:sz w:val="24"/>
                <w:szCs w:val="24"/>
              </w:rPr>
            </w:pPr>
            <w:r w:rsidRPr="00916264">
              <w:rPr>
                <w:rFonts w:ascii="Times New Roman" w:hAnsi="Times New Roman" w:cs="Times New Roman"/>
                <w:sz w:val="24"/>
                <w:szCs w:val="24"/>
              </w:rPr>
              <w:t>Referencia</w:t>
            </w:r>
          </w:p>
        </w:tc>
        <w:tc>
          <w:tcPr>
            <w:tcW w:w="1560" w:type="dxa"/>
            <w:tcBorders>
              <w:top w:val="single" w:sz="12" w:space="0" w:color="auto"/>
            </w:tcBorders>
          </w:tcPr>
          <w:p w14:paraId="5557FA89" w14:textId="77777777" w:rsidR="001E5CE1" w:rsidRDefault="001E5CE1" w:rsidP="00126893">
            <w:pPr>
              <w:spacing w:after="0"/>
              <w:jc w:val="center"/>
              <w:rPr>
                <w:rFonts w:ascii="Times New Roman" w:hAnsi="Times New Roman" w:cs="Times New Roman"/>
                <w:sz w:val="24"/>
                <w:szCs w:val="24"/>
              </w:rPr>
            </w:pPr>
          </w:p>
        </w:tc>
      </w:tr>
      <w:tr w:rsidR="001E5CE1" w:rsidRPr="00916264" w14:paraId="5A037CCD" w14:textId="77777777" w:rsidTr="00126893">
        <w:tc>
          <w:tcPr>
            <w:tcW w:w="1661" w:type="dxa"/>
            <w:tcBorders>
              <w:bottom w:val="single" w:sz="18" w:space="0" w:color="auto"/>
            </w:tcBorders>
          </w:tcPr>
          <w:p w14:paraId="696355E8" w14:textId="77777777" w:rsidR="001E5CE1" w:rsidRPr="00916264" w:rsidRDefault="001E5CE1" w:rsidP="00126893">
            <w:pPr>
              <w:spacing w:after="0"/>
              <w:rPr>
                <w:rFonts w:ascii="Times New Roman" w:hAnsi="Times New Roman" w:cs="Times New Roman"/>
                <w:b/>
                <w:bCs/>
                <w:sz w:val="24"/>
                <w:szCs w:val="24"/>
              </w:rPr>
            </w:pPr>
            <w:r w:rsidRPr="00916264">
              <w:rPr>
                <w:rFonts w:ascii="Times New Roman" w:hAnsi="Times New Roman" w:cs="Times New Roman"/>
                <w:b/>
                <w:bCs/>
                <w:sz w:val="24"/>
                <w:szCs w:val="24"/>
              </w:rPr>
              <w:t>C</w:t>
            </w:r>
          </w:p>
        </w:tc>
        <w:tc>
          <w:tcPr>
            <w:tcW w:w="1392" w:type="dxa"/>
            <w:tcBorders>
              <w:bottom w:val="single" w:sz="18" w:space="0" w:color="auto"/>
            </w:tcBorders>
          </w:tcPr>
          <w:p w14:paraId="22E39467" w14:textId="77777777" w:rsidR="001E5CE1" w:rsidRPr="00916264" w:rsidRDefault="001E5CE1" w:rsidP="00126893">
            <w:pPr>
              <w:spacing w:after="0"/>
              <w:jc w:val="center"/>
              <w:rPr>
                <w:rFonts w:ascii="Times New Roman" w:hAnsi="Times New Roman" w:cs="Times New Roman"/>
                <w:sz w:val="24"/>
                <w:szCs w:val="24"/>
              </w:rPr>
            </w:pPr>
            <w:r>
              <w:rPr>
                <w:rFonts w:ascii="Times New Roman" w:hAnsi="Times New Roman" w:cs="Times New Roman"/>
                <w:sz w:val="24"/>
                <w:szCs w:val="24"/>
              </w:rPr>
              <w:t>5 (</w:t>
            </w:r>
            <w:r w:rsidRPr="00916264">
              <w:rPr>
                <w:rFonts w:ascii="Times New Roman" w:hAnsi="Times New Roman" w:cs="Times New Roman"/>
                <w:sz w:val="24"/>
                <w:szCs w:val="24"/>
              </w:rPr>
              <w:t>5</w:t>
            </w:r>
            <w:r>
              <w:rPr>
                <w:rFonts w:ascii="Times New Roman" w:hAnsi="Times New Roman" w:cs="Times New Roman"/>
                <w:sz w:val="24"/>
                <w:szCs w:val="24"/>
              </w:rPr>
              <w:t>)</w:t>
            </w:r>
          </w:p>
        </w:tc>
        <w:tc>
          <w:tcPr>
            <w:tcW w:w="1733" w:type="dxa"/>
            <w:tcBorders>
              <w:bottom w:val="single" w:sz="18" w:space="0" w:color="auto"/>
            </w:tcBorders>
          </w:tcPr>
          <w:p w14:paraId="0FC0F535" w14:textId="77777777" w:rsidR="001E5CE1" w:rsidRPr="00916264" w:rsidRDefault="001E5CE1" w:rsidP="00126893">
            <w:pPr>
              <w:spacing w:after="0"/>
              <w:jc w:val="center"/>
              <w:rPr>
                <w:rFonts w:ascii="Times New Roman" w:hAnsi="Times New Roman" w:cs="Times New Roman"/>
                <w:sz w:val="24"/>
                <w:szCs w:val="24"/>
              </w:rPr>
            </w:pPr>
            <w:r>
              <w:rPr>
                <w:rFonts w:ascii="Times New Roman" w:hAnsi="Times New Roman" w:cs="Times New Roman"/>
                <w:sz w:val="24"/>
                <w:szCs w:val="24"/>
              </w:rPr>
              <w:t>12 (</w:t>
            </w:r>
            <w:r w:rsidRPr="00916264">
              <w:rPr>
                <w:rFonts w:ascii="Times New Roman" w:hAnsi="Times New Roman" w:cs="Times New Roman"/>
                <w:sz w:val="24"/>
                <w:szCs w:val="24"/>
              </w:rPr>
              <w:t>12</w:t>
            </w:r>
            <w:r>
              <w:rPr>
                <w:rFonts w:ascii="Times New Roman" w:hAnsi="Times New Roman" w:cs="Times New Roman"/>
                <w:sz w:val="24"/>
                <w:szCs w:val="24"/>
              </w:rPr>
              <w:t>)</w:t>
            </w:r>
          </w:p>
        </w:tc>
        <w:tc>
          <w:tcPr>
            <w:tcW w:w="2302" w:type="dxa"/>
            <w:tcBorders>
              <w:bottom w:val="single" w:sz="18" w:space="0" w:color="auto"/>
            </w:tcBorders>
          </w:tcPr>
          <w:p w14:paraId="788BB829" w14:textId="77777777" w:rsidR="001E5CE1" w:rsidRPr="00916264" w:rsidRDefault="001E5CE1" w:rsidP="00126893">
            <w:pPr>
              <w:spacing w:after="0"/>
              <w:rPr>
                <w:rFonts w:ascii="Times New Roman" w:hAnsi="Times New Roman" w:cs="Times New Roman"/>
                <w:sz w:val="24"/>
                <w:szCs w:val="24"/>
              </w:rPr>
            </w:pPr>
            <w:r>
              <w:rPr>
                <w:rFonts w:ascii="Times New Roman" w:hAnsi="Times New Roman" w:cs="Times New Roman"/>
                <w:sz w:val="24"/>
                <w:szCs w:val="24"/>
              </w:rPr>
              <w:t>0.370 (0.125</w:t>
            </w:r>
            <w:r w:rsidRPr="00916264">
              <w:rPr>
                <w:rFonts w:ascii="Times New Roman" w:hAnsi="Times New Roman" w:cs="Times New Roman"/>
                <w:sz w:val="24"/>
                <w:szCs w:val="24"/>
              </w:rPr>
              <w:t>-</w:t>
            </w:r>
            <w:r>
              <w:rPr>
                <w:rFonts w:ascii="Times New Roman" w:hAnsi="Times New Roman" w:cs="Times New Roman"/>
                <w:sz w:val="24"/>
                <w:szCs w:val="24"/>
              </w:rPr>
              <w:t>1.092</w:t>
            </w:r>
            <w:r w:rsidRPr="00916264">
              <w:rPr>
                <w:rFonts w:ascii="Times New Roman" w:hAnsi="Times New Roman" w:cs="Times New Roman"/>
                <w:sz w:val="24"/>
                <w:szCs w:val="24"/>
              </w:rPr>
              <w:t>)</w:t>
            </w:r>
          </w:p>
        </w:tc>
        <w:tc>
          <w:tcPr>
            <w:tcW w:w="1560" w:type="dxa"/>
            <w:tcBorders>
              <w:bottom w:val="single" w:sz="18" w:space="0" w:color="auto"/>
            </w:tcBorders>
          </w:tcPr>
          <w:p w14:paraId="2324E8CB" w14:textId="77777777" w:rsidR="001E5CE1" w:rsidRPr="00916264" w:rsidRDefault="001E5CE1" w:rsidP="00126893">
            <w:pPr>
              <w:spacing w:after="0"/>
              <w:jc w:val="center"/>
              <w:rPr>
                <w:rFonts w:ascii="Times New Roman" w:hAnsi="Times New Roman" w:cs="Times New Roman"/>
                <w:sz w:val="24"/>
                <w:szCs w:val="24"/>
              </w:rPr>
            </w:pPr>
            <w:r>
              <w:rPr>
                <w:rFonts w:ascii="Times New Roman" w:hAnsi="Times New Roman" w:cs="Times New Roman"/>
                <w:sz w:val="24"/>
                <w:szCs w:val="24"/>
              </w:rPr>
              <w:t>0.07</w:t>
            </w:r>
          </w:p>
        </w:tc>
      </w:tr>
    </w:tbl>
    <w:p w14:paraId="2402399A" w14:textId="76A13370" w:rsidR="00B7396F" w:rsidRDefault="001E5CE1" w:rsidP="001E5CE1">
      <w:pPr>
        <w:rPr>
          <w:rFonts w:ascii="Times New Roman" w:hAnsi="Times New Roman" w:cs="Times New Roman"/>
          <w:sz w:val="24"/>
          <w:szCs w:val="24"/>
        </w:rPr>
      </w:pPr>
      <w:r>
        <w:rPr>
          <w:rFonts w:ascii="Times New Roman" w:hAnsi="Times New Roman" w:cs="Times New Roman"/>
          <w:sz w:val="24"/>
          <w:szCs w:val="24"/>
        </w:rPr>
        <w:t xml:space="preserve">G (Alelo silvestre); C (Alelo de riesgo); </w:t>
      </w:r>
      <w:r w:rsidRPr="00916264">
        <w:rPr>
          <w:rFonts w:ascii="Times New Roman" w:hAnsi="Times New Roman" w:cs="Times New Roman"/>
          <w:sz w:val="24"/>
          <w:szCs w:val="24"/>
        </w:rPr>
        <w:t>GG (</w:t>
      </w:r>
      <w:r>
        <w:rPr>
          <w:rFonts w:ascii="Times New Roman" w:hAnsi="Times New Roman" w:cs="Times New Roman"/>
          <w:sz w:val="24"/>
          <w:szCs w:val="24"/>
        </w:rPr>
        <w:t xml:space="preserve">Homocigoto </w:t>
      </w:r>
      <w:r w:rsidRPr="00916264">
        <w:rPr>
          <w:rFonts w:ascii="Times New Roman" w:hAnsi="Times New Roman" w:cs="Times New Roman"/>
          <w:sz w:val="24"/>
          <w:szCs w:val="24"/>
        </w:rPr>
        <w:t>silvestre)</w:t>
      </w:r>
      <w:r>
        <w:rPr>
          <w:rFonts w:ascii="Times New Roman" w:hAnsi="Times New Roman" w:cs="Times New Roman"/>
          <w:sz w:val="24"/>
          <w:szCs w:val="24"/>
        </w:rPr>
        <w:t>;</w:t>
      </w:r>
      <w:r w:rsidRPr="00916264">
        <w:rPr>
          <w:rFonts w:ascii="Times New Roman" w:hAnsi="Times New Roman" w:cs="Times New Roman"/>
          <w:sz w:val="24"/>
          <w:szCs w:val="24"/>
        </w:rPr>
        <w:t xml:space="preserve"> GC (</w:t>
      </w:r>
      <w:r>
        <w:rPr>
          <w:rFonts w:ascii="Times New Roman" w:hAnsi="Times New Roman" w:cs="Times New Roman"/>
          <w:sz w:val="24"/>
          <w:szCs w:val="24"/>
        </w:rPr>
        <w:t>H</w:t>
      </w:r>
      <w:r w:rsidRPr="00916264">
        <w:rPr>
          <w:rFonts w:ascii="Times New Roman" w:hAnsi="Times New Roman" w:cs="Times New Roman"/>
          <w:sz w:val="24"/>
          <w:szCs w:val="24"/>
        </w:rPr>
        <w:t>eterocigoto); CC (</w:t>
      </w:r>
      <w:r>
        <w:rPr>
          <w:rFonts w:ascii="Times New Roman" w:hAnsi="Times New Roman" w:cs="Times New Roman"/>
          <w:sz w:val="24"/>
          <w:szCs w:val="24"/>
        </w:rPr>
        <w:t xml:space="preserve">Homocigoto </w:t>
      </w:r>
      <w:r w:rsidRPr="00916264">
        <w:rPr>
          <w:rFonts w:ascii="Times New Roman" w:hAnsi="Times New Roman" w:cs="Times New Roman"/>
          <w:sz w:val="24"/>
          <w:szCs w:val="24"/>
        </w:rPr>
        <w:t>mutado); OR odds ratio</w:t>
      </w:r>
      <w:r>
        <w:rPr>
          <w:rFonts w:ascii="Times New Roman" w:hAnsi="Times New Roman" w:cs="Times New Roman"/>
          <w:sz w:val="24"/>
          <w:szCs w:val="24"/>
        </w:rPr>
        <w:t>.</w:t>
      </w:r>
    </w:p>
    <w:p w14:paraId="213F4F38" w14:textId="77777777" w:rsidR="001E5CE1" w:rsidRPr="001E5CE1" w:rsidRDefault="001E5CE1" w:rsidP="001E5CE1">
      <w:pPr>
        <w:rPr>
          <w:rFonts w:ascii="Times New Roman" w:hAnsi="Times New Roman" w:cs="Times New Roman"/>
          <w:sz w:val="24"/>
          <w:szCs w:val="24"/>
        </w:rPr>
      </w:pPr>
    </w:p>
    <w:p w14:paraId="6CDE4723" w14:textId="37FDF08E" w:rsidR="00F31442" w:rsidRPr="00F705AB" w:rsidRDefault="00F31442" w:rsidP="00B7396F">
      <w:pPr>
        <w:tabs>
          <w:tab w:val="left" w:pos="1155"/>
        </w:tabs>
        <w:spacing w:line="360" w:lineRule="auto"/>
        <w:rPr>
          <w:rFonts w:ascii="Times New Roman" w:eastAsia="Calibri" w:hAnsi="Times New Roman" w:cs="Times New Roman"/>
          <w:b/>
          <w:sz w:val="24"/>
          <w:szCs w:val="24"/>
        </w:rPr>
      </w:pPr>
      <w:r w:rsidRPr="00F705AB">
        <w:rPr>
          <w:rFonts w:ascii="Times New Roman" w:eastAsia="Calibri" w:hAnsi="Times New Roman" w:cs="Times New Roman"/>
          <w:b/>
          <w:sz w:val="24"/>
          <w:szCs w:val="24"/>
        </w:rPr>
        <w:t>DISCUSIÓN</w:t>
      </w:r>
    </w:p>
    <w:p w14:paraId="04882571" w14:textId="5C87F632" w:rsidR="00CC7D4F" w:rsidRPr="003B0C9B" w:rsidRDefault="00BB11E0" w:rsidP="00B7396F">
      <w:pPr>
        <w:tabs>
          <w:tab w:val="left" w:pos="1155"/>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De acuerdo a lo reportado</w:t>
      </w:r>
      <w:r w:rsidR="00F31442" w:rsidRPr="00F705AB">
        <w:rPr>
          <w:rFonts w:ascii="Times New Roman" w:eastAsia="Calibri" w:hAnsi="Times New Roman" w:cs="Times New Roman"/>
          <w:sz w:val="24"/>
          <w:szCs w:val="24"/>
        </w:rPr>
        <w:t xml:space="preserve">, las asociaciones entre polimorfismos genéticos y ciertas enfermedades </w:t>
      </w:r>
      <w:r>
        <w:rPr>
          <w:rFonts w:ascii="Times New Roman" w:eastAsia="Calibri" w:hAnsi="Times New Roman" w:cs="Times New Roman"/>
          <w:sz w:val="24"/>
          <w:szCs w:val="24"/>
        </w:rPr>
        <w:t xml:space="preserve">puede </w:t>
      </w:r>
      <w:r w:rsidR="00F31442" w:rsidRPr="00F705AB">
        <w:rPr>
          <w:rFonts w:ascii="Times New Roman" w:eastAsia="Calibri" w:hAnsi="Times New Roman" w:cs="Times New Roman"/>
          <w:sz w:val="24"/>
          <w:szCs w:val="24"/>
        </w:rPr>
        <w:t>var</w:t>
      </w:r>
      <w:r>
        <w:rPr>
          <w:rFonts w:ascii="Times New Roman" w:eastAsia="Calibri" w:hAnsi="Times New Roman" w:cs="Times New Roman"/>
          <w:sz w:val="24"/>
          <w:szCs w:val="24"/>
        </w:rPr>
        <w:t>i</w:t>
      </w:r>
      <w:r w:rsidR="00F31442" w:rsidRPr="00F705AB">
        <w:rPr>
          <w:rFonts w:ascii="Times New Roman" w:eastAsia="Calibri" w:hAnsi="Times New Roman" w:cs="Times New Roman"/>
          <w:sz w:val="24"/>
          <w:szCs w:val="24"/>
        </w:rPr>
        <w:t>a</w:t>
      </w:r>
      <w:r>
        <w:rPr>
          <w:rFonts w:ascii="Times New Roman" w:eastAsia="Calibri" w:hAnsi="Times New Roman" w:cs="Times New Roman"/>
          <w:sz w:val="24"/>
          <w:szCs w:val="24"/>
        </w:rPr>
        <w:t>r</w:t>
      </w:r>
      <w:r w:rsidR="00F31442" w:rsidRPr="00F705AB">
        <w:rPr>
          <w:rFonts w:ascii="Times New Roman" w:eastAsia="Calibri" w:hAnsi="Times New Roman" w:cs="Times New Roman"/>
          <w:sz w:val="24"/>
          <w:szCs w:val="24"/>
        </w:rPr>
        <w:t xml:space="preserve"> en </w:t>
      </w:r>
      <w:r>
        <w:rPr>
          <w:rFonts w:ascii="Times New Roman" w:eastAsia="Calibri" w:hAnsi="Times New Roman" w:cs="Times New Roman"/>
          <w:sz w:val="24"/>
          <w:szCs w:val="24"/>
        </w:rPr>
        <w:t xml:space="preserve">las </w:t>
      </w:r>
      <w:r w:rsidR="00F31442" w:rsidRPr="00F705AB">
        <w:rPr>
          <w:rFonts w:ascii="Times New Roman" w:eastAsia="Calibri" w:hAnsi="Times New Roman" w:cs="Times New Roman"/>
          <w:sz w:val="24"/>
          <w:szCs w:val="24"/>
        </w:rPr>
        <w:t xml:space="preserve">diferentes regiones geográficas y grupos </w:t>
      </w:r>
      <w:r w:rsidR="00F31442" w:rsidRPr="00642363">
        <w:rPr>
          <w:rFonts w:ascii="Times New Roman" w:eastAsia="Calibri" w:hAnsi="Times New Roman" w:cs="Times New Roman"/>
          <w:sz w:val="24"/>
          <w:szCs w:val="24"/>
        </w:rPr>
        <w:t>étnicos</w:t>
      </w:r>
      <w:r w:rsidR="001543F7" w:rsidRPr="00642363">
        <w:rPr>
          <w:rFonts w:ascii="Times New Roman" w:eastAsia="Calibri" w:hAnsi="Times New Roman" w:cs="Times New Roman"/>
          <w:sz w:val="24"/>
          <w:szCs w:val="24"/>
        </w:rPr>
        <w:t xml:space="preserve"> </w:t>
      </w:r>
      <w:r w:rsidR="00642363" w:rsidRPr="00642363">
        <w:rPr>
          <w:rFonts w:ascii="Times New Roman" w:eastAsia="Calibri" w:hAnsi="Times New Roman" w:cs="Times New Roman"/>
          <w:sz w:val="24"/>
          <w:szCs w:val="24"/>
        </w:rPr>
        <w:fldChar w:fldCharType="begin" w:fldLock="1"/>
      </w:r>
      <w:r w:rsidR="00F2052F">
        <w:rPr>
          <w:rFonts w:ascii="Times New Roman" w:eastAsia="Calibri" w:hAnsi="Times New Roman" w:cs="Times New Roman"/>
          <w:sz w:val="24"/>
          <w:szCs w:val="24"/>
        </w:rPr>
        <w:instrText>ADDIN CSL_CITATION {"citationItems":[{"id":"ITEM-1","itemData":{"DOI":"10.1186/1297-9686-34-3-275","ISSN":"1297-9686","author":[{"dropping-particle":"","family":"Vignal","given":"Alain","non-dropping-particle":"","parse-names":false,"suffix":""},{"dropping-particle":"","family":"Milan","given":"Denis","non-dropping-particle":"","parse-names":false,"suffix":""},{"dropping-particle":"","family":"SanCristobal","given":"Magali","non-dropping-particle":"","parse-names":false,"suffix":""},{"dropping-particle":"","family":"Eggen","given":"André","non-dropping-particle":"","parse-names":false,"suffix":""}],"container-title":"Genetics Selection Evolution","id":"ITEM-1","issue":"3","issued":{"date-parts":[["2002","6","15"]]},"page":"275","title":"A review on SNP and other types of molecular markers and their use in animal genetics","type":"article-journal","volume":"34"},"uris":["http://www.mendeley.com/documents/?uuid=31132281-457c-40f6-8b96-51c4e511af69"]}],"mendeley":{"formattedCitation":"(15)","plainTextFormattedCitation":"(15)","previouslyFormattedCitation":"(14)"},"properties":{"noteIndex":0},"schema":"https://github.com/citation-style-language/schema/raw/master/csl-citation.json"}</w:instrText>
      </w:r>
      <w:r w:rsidR="00642363" w:rsidRPr="00642363">
        <w:rPr>
          <w:rFonts w:ascii="Times New Roman" w:eastAsia="Calibri" w:hAnsi="Times New Roman" w:cs="Times New Roman"/>
          <w:sz w:val="24"/>
          <w:szCs w:val="24"/>
        </w:rPr>
        <w:fldChar w:fldCharType="separate"/>
      </w:r>
      <w:r w:rsidR="00F2052F" w:rsidRPr="00F2052F">
        <w:rPr>
          <w:rFonts w:ascii="Times New Roman" w:eastAsia="Calibri" w:hAnsi="Times New Roman" w:cs="Times New Roman"/>
          <w:noProof/>
          <w:sz w:val="24"/>
          <w:szCs w:val="24"/>
        </w:rPr>
        <w:t>(15)</w:t>
      </w:r>
      <w:r w:rsidR="00642363" w:rsidRPr="00642363">
        <w:rPr>
          <w:rFonts w:ascii="Times New Roman" w:eastAsia="Calibri" w:hAnsi="Times New Roman" w:cs="Times New Roman"/>
          <w:sz w:val="24"/>
          <w:szCs w:val="24"/>
        </w:rPr>
        <w:fldChar w:fldCharType="end"/>
      </w:r>
      <w:r w:rsidR="001543F7" w:rsidRPr="00642363">
        <w:rPr>
          <w:rFonts w:ascii="Times New Roman" w:eastAsia="Calibri" w:hAnsi="Times New Roman" w:cs="Times New Roman"/>
          <w:sz w:val="24"/>
          <w:szCs w:val="24"/>
        </w:rPr>
        <w:t>.</w:t>
      </w:r>
      <w:r w:rsidRPr="00642363">
        <w:rPr>
          <w:rFonts w:ascii="Times New Roman" w:eastAsia="Calibri" w:hAnsi="Times New Roman" w:cs="Times New Roman"/>
          <w:sz w:val="24"/>
          <w:szCs w:val="24"/>
        </w:rPr>
        <w:t xml:space="preserve"> </w:t>
      </w:r>
      <w:r w:rsidR="00885AA6">
        <w:rPr>
          <w:rFonts w:ascii="Times New Roman" w:eastAsia="Calibri" w:hAnsi="Times New Roman" w:cs="Times New Roman"/>
          <w:sz w:val="24"/>
          <w:szCs w:val="24"/>
        </w:rPr>
        <w:t xml:space="preserve">En </w:t>
      </w:r>
      <w:r w:rsidRPr="00642363">
        <w:rPr>
          <w:rFonts w:ascii="Times New Roman" w:eastAsia="Calibri" w:hAnsi="Times New Roman" w:cs="Times New Roman"/>
          <w:sz w:val="24"/>
          <w:szCs w:val="24"/>
        </w:rPr>
        <w:t xml:space="preserve">la población </w:t>
      </w:r>
      <w:r w:rsidR="004759C3">
        <w:rPr>
          <w:rFonts w:ascii="Times New Roman" w:eastAsia="Calibri" w:hAnsi="Times New Roman" w:cs="Times New Roman"/>
          <w:sz w:val="24"/>
          <w:szCs w:val="24"/>
        </w:rPr>
        <w:t>h</w:t>
      </w:r>
      <w:r w:rsidRPr="00642363">
        <w:rPr>
          <w:rFonts w:ascii="Times New Roman" w:eastAsia="Calibri" w:hAnsi="Times New Roman" w:cs="Times New Roman"/>
          <w:sz w:val="24"/>
          <w:szCs w:val="24"/>
        </w:rPr>
        <w:t xml:space="preserve">indú, se </w:t>
      </w:r>
      <w:r w:rsidR="00885AA6">
        <w:rPr>
          <w:rFonts w:ascii="Times New Roman" w:eastAsia="Calibri" w:hAnsi="Times New Roman" w:cs="Times New Roman"/>
          <w:sz w:val="24"/>
          <w:szCs w:val="24"/>
        </w:rPr>
        <w:t xml:space="preserve">ha </w:t>
      </w:r>
      <w:r w:rsidRPr="00642363">
        <w:rPr>
          <w:rFonts w:ascii="Times New Roman" w:eastAsia="Calibri" w:hAnsi="Times New Roman" w:cs="Times New Roman"/>
          <w:sz w:val="24"/>
          <w:szCs w:val="24"/>
        </w:rPr>
        <w:t>relaciona</w:t>
      </w:r>
      <w:r w:rsidR="00885AA6">
        <w:rPr>
          <w:rFonts w:ascii="Times New Roman" w:eastAsia="Calibri" w:hAnsi="Times New Roman" w:cs="Times New Roman"/>
          <w:sz w:val="24"/>
          <w:szCs w:val="24"/>
        </w:rPr>
        <w:t>do la presencia</w:t>
      </w:r>
      <w:r w:rsidRPr="00642363">
        <w:rPr>
          <w:rFonts w:ascii="Times New Roman" w:eastAsia="Calibri" w:hAnsi="Times New Roman" w:cs="Times New Roman"/>
          <w:sz w:val="24"/>
          <w:szCs w:val="24"/>
        </w:rPr>
        <w:t xml:space="preserve"> </w:t>
      </w:r>
      <w:r w:rsidR="00885AA6">
        <w:rPr>
          <w:rFonts w:ascii="Times New Roman" w:eastAsia="Calibri" w:hAnsi="Times New Roman" w:cs="Times New Roman"/>
          <w:sz w:val="24"/>
          <w:szCs w:val="24"/>
        </w:rPr>
        <w:t>d</w:t>
      </w:r>
      <w:r w:rsidRPr="00642363">
        <w:rPr>
          <w:rFonts w:ascii="Times New Roman" w:eastAsia="Calibri" w:hAnsi="Times New Roman" w:cs="Times New Roman"/>
          <w:sz w:val="24"/>
          <w:szCs w:val="24"/>
        </w:rPr>
        <w:t xml:space="preserve">el alelo G </w:t>
      </w:r>
      <w:r w:rsidR="00885AA6">
        <w:rPr>
          <w:rFonts w:ascii="Times New Roman" w:eastAsia="Calibri" w:hAnsi="Times New Roman" w:cs="Times New Roman"/>
          <w:sz w:val="24"/>
          <w:szCs w:val="24"/>
        </w:rPr>
        <w:t xml:space="preserve">del </w:t>
      </w:r>
      <w:r w:rsidR="00885AA6" w:rsidRPr="00885AA6">
        <w:rPr>
          <w:rFonts w:ascii="Times New Roman" w:eastAsia="Calibri" w:hAnsi="Times New Roman" w:cs="Times New Roman"/>
          <w:sz w:val="24"/>
          <w:szCs w:val="24"/>
        </w:rPr>
        <w:t xml:space="preserve">g.-174 G&gt;C </w:t>
      </w:r>
      <w:r w:rsidRPr="00642363">
        <w:rPr>
          <w:rFonts w:ascii="Times New Roman" w:eastAsia="Calibri" w:hAnsi="Times New Roman" w:cs="Times New Roman"/>
          <w:sz w:val="24"/>
          <w:szCs w:val="24"/>
        </w:rPr>
        <w:t>con la diabetes mellitus</w:t>
      </w:r>
      <w:r w:rsidR="00307C42">
        <w:rPr>
          <w:rFonts w:ascii="Times New Roman" w:eastAsia="Calibri" w:hAnsi="Times New Roman" w:cs="Times New Roman"/>
          <w:sz w:val="24"/>
          <w:szCs w:val="24"/>
        </w:rPr>
        <w:t>.</w:t>
      </w:r>
      <w:r w:rsidR="00885AA6">
        <w:rPr>
          <w:rFonts w:ascii="Times New Roman" w:eastAsia="Calibri" w:hAnsi="Times New Roman" w:cs="Times New Roman"/>
          <w:sz w:val="24"/>
          <w:szCs w:val="24"/>
        </w:rPr>
        <w:t xml:space="preserve"> Por otra parte, este</w:t>
      </w:r>
      <w:r w:rsidR="00F31442" w:rsidRPr="00642363">
        <w:rPr>
          <w:rFonts w:ascii="Times New Roman" w:eastAsia="Calibri" w:hAnsi="Times New Roman" w:cs="Times New Roman"/>
          <w:sz w:val="24"/>
          <w:szCs w:val="24"/>
        </w:rPr>
        <w:t xml:space="preserve"> polimorfismo</w:t>
      </w:r>
      <w:r w:rsidRPr="00642363">
        <w:rPr>
          <w:rFonts w:ascii="Times New Roman" w:eastAsia="Calibri" w:hAnsi="Times New Roman" w:cs="Times New Roman"/>
          <w:sz w:val="24"/>
          <w:szCs w:val="24"/>
        </w:rPr>
        <w:t xml:space="preserve"> </w:t>
      </w:r>
      <w:r w:rsidR="00F31442" w:rsidRPr="00642363">
        <w:rPr>
          <w:rFonts w:ascii="Times New Roman" w:eastAsia="Calibri" w:hAnsi="Times New Roman" w:cs="Times New Roman"/>
          <w:sz w:val="24"/>
          <w:szCs w:val="24"/>
        </w:rPr>
        <w:t>se ha relacionado de manera significativa con enfermedades crónicas inflamatorias, autoinmunes y metabólicas</w:t>
      </w:r>
      <w:r w:rsidR="00642363" w:rsidRPr="00642363">
        <w:rPr>
          <w:rFonts w:ascii="Times New Roman" w:eastAsia="Calibri" w:hAnsi="Times New Roman" w:cs="Times New Roman"/>
          <w:sz w:val="24"/>
          <w:szCs w:val="24"/>
        </w:rPr>
        <w:t xml:space="preserve"> </w:t>
      </w:r>
      <w:r w:rsidR="00642363" w:rsidRPr="00642363">
        <w:rPr>
          <w:rFonts w:ascii="Times New Roman" w:eastAsia="Calibri" w:hAnsi="Times New Roman" w:cs="Times New Roman"/>
          <w:sz w:val="24"/>
          <w:szCs w:val="24"/>
        </w:rPr>
        <w:fldChar w:fldCharType="begin" w:fldLock="1"/>
      </w:r>
      <w:r w:rsidR="00F2052F">
        <w:rPr>
          <w:rFonts w:ascii="Times New Roman" w:eastAsia="Calibri" w:hAnsi="Times New Roman" w:cs="Times New Roman"/>
          <w:sz w:val="24"/>
          <w:szCs w:val="24"/>
        </w:rPr>
        <w:instrText>ADDIN CSL_CITATION {"citationItems":[{"id":"ITEM-1","itemData":{"author":[{"dropping-particle":"","family":"Martínez","given":"V.","non-dropping-particle":"","parse-names":false,"suffix":""},{"dropping-particle":"","family":"Carrillo","given":"B.","non-dropping-particle":"","parse-names":false,"suffix":""},{"dropping-particle":"","family":"García","given":"G.","non-dropping-particle":"","parse-names":false,"suffix":""},{"dropping-particle":"","family":"Vera","given":"L.","non-dropping-particle":"","parse-names":false,"suffix":""},{"dropping-particle":"","family":"Escobar","given":"D.","non-dropping-particle":"","parse-names":false,"suffix":""},{"dropping-particle":"","family":"Pozos","given":"A.","non-dropping-particle":"","parse-names":false,"suffix":""},{"dropping-particle":"","family":"Guzmán","given":"E.","non-dropping-particle":"","parse-names":false,"suffix":""},{"dropping-particle":"","family":"Valadez","given":"N.","non-dropping-particle":"","parse-names":false,"suffix":""}],"container-title":"Investigación Clínica","id":"ITEM-1","issue":"2","issued":{"date-parts":[["2018"]]},"page":"135","title":"Asociación de los polimorfismos CCR5 G59029A y RANTES –28 C/G en pacientes con periodontitis crónica y/o diabetes mellitus tipo 2 en una población del sureste mexicano","type":"article-journal","volume":"59"},"uris":["http://www.mendeley.com/documents/?uuid=cfb4ff8b-f5d0-4f97-91e1-496a93967e3f"]},{"id":"ITEM-2","itemData":{"author":[{"dropping-particle":"","family":"Saxena","given":"M.","non-dropping-particle":"","parse-names":false,"suffix":""},{"dropping-particle":"","family":"Agrawal","given":"C.","non-dropping-particle":"","parse-names":false,"suffix":""},{"dropping-particle":"","family":"Srivastava","given":"N.","non-dropping-particle":"","parse-names":false,"suffix":""},{"dropping-particle":"","family":"M.","given":"Banerjee","non-dropping-particle":"","parse-names":false,"suffix":""}],"container-title":"Indian Journal of Medical Research","id":"ITEM-2","issue":"1","issued":{"date-parts":[["2014"]]},"page":"60-68","title":"Interleukin-6 (IL-6)-597 A/G (rs1800797) &amp; -174 G/C (rs1800795) gene polymorphisms in type 2 diabetes","type":"article-journal","volume":"140"},"uris":["http://www.mendeley.com/documents/?uuid=27d70945-6bb1-43af-9a41-e81cfbc38cb6"]},{"id":"ITEM-3","itemData":{"DOI":"10.2337/diabetes.52.7.1872","ISSN":"0012-1797","author":[{"dropping-particle":"","family":"Kubaszek","given":"A.","non-dropping-particle":"","parse-names":false,"suffix":""},{"dropping-particle":"","family":"Pihlajamaki","given":"J.","non-dropping-particle":"","parse-names":false,"suffix":""},{"dropping-particle":"","family":"Komarovski","given":"V.","non-dropping-particle":"","parse-names":false,"suffix":""},{"dropping-particle":"","family":"Lindi","given":"V.","non-dropping-particle":"","parse-names":false,"suffix":""},{"dropping-particle":"","family":"Lindstrom","given":"J.","non-dropping-particle":"","parse-names":false,"suffix":""},{"dropping-particle":"","family":"Eriksson","given":"J.","non-dropping-particle":"","parse-names":false,"suffix":""},{"dropping-particle":"","family":"Valle","given":"T. T.","non-dropping-particle":"","parse-names":false,"suffix":""},{"dropping-particle":"","family":"Hamalainen","given":"H.","non-dropping-particle":"","parse-names":false,"suffix":""},{"dropping-particle":"","family":"Ilanne-Parikka","given":"P.","non-dropping-particle":"","parse-names":false,"suffix":""},{"dropping-particle":"","family":"Keinanen-Kiukaanniemi","given":"S.","non-dropping-particle":"","parse-names":false,"suffix":""},{"dropping-particle":"","family":"Tuomilehto","given":"J.","non-dropping-particle":"","parse-names":false,"suffix":""},{"dropping-particle":"","family":"Uusitupa","given":"M.","non-dropping-particle":"","parse-names":false,"suffix":""},{"dropping-particle":"","family":"Laakso","given":"M.","non-dropping-particle":"","parse-names":false,"suffix":""}],"container-title":"Diabetes","id":"ITEM-3","issue":"7","issued":{"date-parts":[["2003","7","1"]]},"page":"1872-1876","title":"Promoter Polymorphisms of the TNF- (G-308A) and IL-6 (C-174G) Genes Predict the Conversion From Impaired Glucose Tolerance to Type 2 Diabetes: The Finnish Diabetes Prevention Study","type":"article-journal","volume":"52"},"uris":["http://www.mendeley.com/documents/?uuid=7e428112-7a74-4f49-9681-232e1bd14d12"]}],"mendeley":{"formattedCitation":"(16–18)","plainTextFormattedCitation":"(16–18)","previouslyFormattedCitation":"(15–17)"},"properties":{"noteIndex":0},"schema":"https://github.com/citation-style-language/schema/raw/master/csl-citation.json"}</w:instrText>
      </w:r>
      <w:r w:rsidR="00642363" w:rsidRPr="00642363">
        <w:rPr>
          <w:rFonts w:ascii="Times New Roman" w:eastAsia="Calibri" w:hAnsi="Times New Roman" w:cs="Times New Roman"/>
          <w:sz w:val="24"/>
          <w:szCs w:val="24"/>
        </w:rPr>
        <w:fldChar w:fldCharType="separate"/>
      </w:r>
      <w:r w:rsidR="00F2052F" w:rsidRPr="00F2052F">
        <w:rPr>
          <w:rFonts w:ascii="Times New Roman" w:eastAsia="Calibri" w:hAnsi="Times New Roman" w:cs="Times New Roman"/>
          <w:noProof/>
          <w:sz w:val="24"/>
          <w:szCs w:val="24"/>
        </w:rPr>
        <w:t>(16–18)</w:t>
      </w:r>
      <w:r w:rsidR="00642363" w:rsidRPr="00642363">
        <w:rPr>
          <w:rFonts w:ascii="Times New Roman" w:eastAsia="Calibri" w:hAnsi="Times New Roman" w:cs="Times New Roman"/>
          <w:sz w:val="24"/>
          <w:szCs w:val="24"/>
        </w:rPr>
        <w:fldChar w:fldCharType="end"/>
      </w:r>
      <w:r w:rsidR="001543F7" w:rsidRPr="00642363">
        <w:rPr>
          <w:rFonts w:ascii="Times New Roman" w:eastAsia="Calibri" w:hAnsi="Times New Roman" w:cs="Times New Roman"/>
          <w:sz w:val="24"/>
          <w:szCs w:val="24"/>
        </w:rPr>
        <w:t>.</w:t>
      </w:r>
      <w:r w:rsidRPr="00642363">
        <w:rPr>
          <w:rFonts w:ascii="Times New Roman" w:eastAsia="Calibri" w:hAnsi="Times New Roman" w:cs="Times New Roman"/>
          <w:sz w:val="24"/>
          <w:szCs w:val="24"/>
        </w:rPr>
        <w:t xml:space="preserve"> </w:t>
      </w:r>
      <w:r w:rsidR="00885AA6">
        <w:rPr>
          <w:rFonts w:ascii="Times New Roman" w:eastAsia="Calibri" w:hAnsi="Times New Roman" w:cs="Times New Roman"/>
          <w:sz w:val="24"/>
          <w:szCs w:val="24"/>
        </w:rPr>
        <w:t>L</w:t>
      </w:r>
      <w:r w:rsidRPr="00642363">
        <w:rPr>
          <w:rFonts w:ascii="Times New Roman" w:eastAsia="Calibri" w:hAnsi="Times New Roman" w:cs="Times New Roman"/>
          <w:sz w:val="24"/>
          <w:szCs w:val="24"/>
        </w:rPr>
        <w:t xml:space="preserve">os estudios de </w:t>
      </w:r>
      <w:r w:rsidRPr="00642363">
        <w:rPr>
          <w:rFonts w:ascii="Times New Roman" w:hAnsi="Times New Roman" w:cs="Times New Roman"/>
          <w:sz w:val="24"/>
          <w:szCs w:val="24"/>
        </w:rPr>
        <w:t xml:space="preserve">Bouhaha R. </w:t>
      </w:r>
      <w:r w:rsidRPr="00642363">
        <w:rPr>
          <w:rFonts w:ascii="Times New Roman" w:hAnsi="Times New Roman" w:cs="Times New Roman"/>
          <w:i/>
          <w:iCs/>
          <w:sz w:val="24"/>
          <w:szCs w:val="24"/>
        </w:rPr>
        <w:t>et al</w:t>
      </w:r>
      <w:r w:rsidRPr="00642363">
        <w:rPr>
          <w:rFonts w:ascii="Times New Roman" w:hAnsi="Times New Roman" w:cs="Times New Roman"/>
          <w:sz w:val="24"/>
          <w:szCs w:val="24"/>
        </w:rPr>
        <w:t xml:space="preserve">. y </w:t>
      </w:r>
      <w:r w:rsidRPr="003B0C9B">
        <w:rPr>
          <w:rFonts w:ascii="Times New Roman" w:hAnsi="Times New Roman" w:cs="Times New Roman"/>
          <w:sz w:val="24"/>
          <w:szCs w:val="24"/>
        </w:rPr>
        <w:t xml:space="preserve">Papaoikonomou S. </w:t>
      </w:r>
      <w:r w:rsidRPr="003B0C9B">
        <w:rPr>
          <w:rFonts w:ascii="Times New Roman" w:hAnsi="Times New Roman" w:cs="Times New Roman"/>
          <w:i/>
          <w:iCs/>
          <w:sz w:val="24"/>
          <w:szCs w:val="24"/>
        </w:rPr>
        <w:t>et al.</w:t>
      </w:r>
      <w:r w:rsidR="001B1931" w:rsidRPr="003B0C9B">
        <w:rPr>
          <w:rFonts w:ascii="Times New Roman" w:hAnsi="Times New Roman" w:cs="Times New Roman"/>
          <w:i/>
          <w:iCs/>
          <w:sz w:val="24"/>
          <w:szCs w:val="24"/>
        </w:rPr>
        <w:t xml:space="preserve"> </w:t>
      </w:r>
      <w:r w:rsidR="001B1931" w:rsidRPr="003B0C9B">
        <w:rPr>
          <w:rFonts w:ascii="Times New Roman" w:hAnsi="Times New Roman" w:cs="Times New Roman"/>
          <w:sz w:val="24"/>
          <w:szCs w:val="24"/>
        </w:rPr>
        <w:t>reporta</w:t>
      </w:r>
      <w:r w:rsidR="00885AA6" w:rsidRPr="003B0C9B">
        <w:rPr>
          <w:rFonts w:ascii="Times New Roman" w:hAnsi="Times New Roman" w:cs="Times New Roman"/>
          <w:sz w:val="24"/>
          <w:szCs w:val="24"/>
        </w:rPr>
        <w:t>n</w:t>
      </w:r>
      <w:r w:rsidR="001B1931" w:rsidRPr="003B0C9B">
        <w:rPr>
          <w:rFonts w:ascii="Times New Roman" w:hAnsi="Times New Roman" w:cs="Times New Roman"/>
          <w:sz w:val="24"/>
          <w:szCs w:val="24"/>
        </w:rPr>
        <w:t xml:space="preserve"> que los portadores del alelo G presentan niveles elevados de </w:t>
      </w:r>
      <w:r w:rsidR="001B1931" w:rsidRPr="003B0C9B">
        <w:rPr>
          <w:rFonts w:ascii="Times New Roman" w:eastAsia="Calibri" w:hAnsi="Times New Roman" w:cs="Times New Roman"/>
          <w:sz w:val="24"/>
          <w:szCs w:val="24"/>
        </w:rPr>
        <w:t>IL-6 promoviendo así una respuesta inflamatoria aumentada</w:t>
      </w:r>
      <w:r w:rsidR="001543F7" w:rsidRPr="003B0C9B">
        <w:rPr>
          <w:rFonts w:ascii="Times New Roman" w:eastAsia="Calibri" w:hAnsi="Times New Roman" w:cs="Times New Roman"/>
          <w:sz w:val="24"/>
          <w:szCs w:val="24"/>
        </w:rPr>
        <w:t xml:space="preserve"> </w:t>
      </w:r>
      <w:r w:rsidR="00642363" w:rsidRPr="003B0C9B">
        <w:rPr>
          <w:rFonts w:ascii="Times New Roman" w:eastAsia="Calibri" w:hAnsi="Times New Roman" w:cs="Times New Roman"/>
          <w:sz w:val="24"/>
          <w:szCs w:val="24"/>
        </w:rPr>
        <w:fldChar w:fldCharType="begin" w:fldLock="1"/>
      </w:r>
      <w:r w:rsidR="00F2052F">
        <w:rPr>
          <w:rFonts w:ascii="Times New Roman" w:eastAsia="Calibri" w:hAnsi="Times New Roman" w:cs="Times New Roman"/>
          <w:sz w:val="24"/>
          <w:szCs w:val="24"/>
        </w:rPr>
        <w:instrText>ADDIN CSL_CITATION {"citationItems":[{"id":"ITEM-1","itemData":{"DOI":"10.1016/j.clinbiochem.2010.01.008","ISSN":"00099120","author":[{"dropping-particle":"","family":"Bouhaha","given":"Rym","non-dropping-particle":"","parse-names":false,"suffix":""},{"dropping-particle":"","family":"Baroudi","given":"Thouraya","non-dropping-particle":"","parse-names":false,"suffix":""},{"dropping-particle":"","family":"Ennafaa","given":"Hajer","non-dropping-particle":"","parse-names":false,"suffix":""},{"dropping-particle":"","family":"Vaillant","given":"Emanuel","non-dropping-particle":"","parse-names":false,"suffix":""},{"dropping-particle":"","family":"Abid","given":"Hafawa","non-dropping-particle":"","parse-names":false,"suffix":""},{"dropping-particle":"","family":"Sassi","given":"Rim","non-dropping-particle":"","parse-names":false,"suffix":""},{"dropping-particle":"","family":"Vatin","given":"Vincent","non-dropping-particle":"","parse-names":false,"suffix":""},{"dropping-particle":"","family":"Froguel","given":"Philippe","non-dropping-particle":"","parse-names":false,"suffix":""},{"dropping-particle":"","family":"Gaaied","given":"Amel Benammar-el","non-dropping-particle":"","parse-names":false,"suffix":""},{"dropping-particle":"","family":"Meyre","given":"David","non-dropping-particle":"","parse-names":false,"suffix":""},{"dropping-particle":"","family":"Vaxillaire","given":"Martine","non-dropping-particle":"","parse-names":false,"suffix":""}],"container-title":"Clinical Biochemistry","id":"ITEM-1","issue":"6","issued":{"date-parts":[["2010","4"]]},"page":"549-552","title":"Study of TNFα -308G/A and IL6 -174G/C polymorphisms in type 2 diabetes and obesity risk in the Tunisian population","type":"article-journal","volume":"43"},"uris":["http://www.mendeley.com/documents/?uuid=d40b03ad-2ce4-41cc-b31c-bd8f489c8c4e"]},{"id":"ITEM-2","itemData":{"DOI":"10.1016/j.jdiacomp.2013.06.006","ISSN":"10568727","author":[{"dropping-particle":"","family":"Papaoikonomou","given":"Stavroula","non-dropping-particle":"","parse-names":false,"suffix":""},{"dropping-particle":"","family":"Tentolouris","given":"Nicholas","non-dropping-particle":"","parse-names":false,"suffix":""},{"dropping-particle":"","family":"Tousoulis","given":"Dimitris","non-dropping-particle":"","parse-names":false,"suffix":""},{"dropping-particle":"","family":"Papadodiannis","given":"Dimitris","non-dropping-particle":"","parse-names":false,"suffix":""},{"dropping-particle":"","family":"Miliou","given":"Antigoni","non-dropping-particle":"","parse-names":false,"suffix":""},{"dropping-particle":"","family":"Papageorgiou","given":"Nikolaos","non-dropping-particle":"","parse-names":false,"suffix":""},{"dropping-particle":"","family":"Hatzis","given":"George","non-dropping-particle":"","parse-names":false,"suffix":""},{"dropping-particle":"","family":"Stefanadis","given":"Christodoulos","non-dropping-particle":"","parse-names":false,"suffix":""}],"container-title":"Journal of Diabetes and its Complications","id":"ITEM-2","issue":"6","issued":{"date-parts":[["2013","11"]]},"page":"576-579","title":"The association of the 174G&amp;gt;C polymorphism of interleukin 6 gene with diabetic nephropathy in patients with type 2 diabetes mellitus","type":"article-journal","volume":"27"},"uris":["http://www.mendeley.com/documents/?uuid=af022f0b-90e4-49f7-a238-a76cd63055f5"]}],"mendeley":{"formattedCitation":"(19,20)","plainTextFormattedCitation":"(19,20)","previouslyFormattedCitation":"(18,19)"},"properties":{"noteIndex":0},"schema":"https://github.com/citation-style-language/schema/raw/master/csl-citation.json"}</w:instrText>
      </w:r>
      <w:r w:rsidR="00642363" w:rsidRPr="003B0C9B">
        <w:rPr>
          <w:rFonts w:ascii="Times New Roman" w:eastAsia="Calibri" w:hAnsi="Times New Roman" w:cs="Times New Roman"/>
          <w:sz w:val="24"/>
          <w:szCs w:val="24"/>
        </w:rPr>
        <w:fldChar w:fldCharType="separate"/>
      </w:r>
      <w:r w:rsidR="00F2052F" w:rsidRPr="00F2052F">
        <w:rPr>
          <w:rFonts w:ascii="Times New Roman" w:eastAsia="Calibri" w:hAnsi="Times New Roman" w:cs="Times New Roman"/>
          <w:noProof/>
          <w:sz w:val="24"/>
          <w:szCs w:val="24"/>
        </w:rPr>
        <w:t>(19,20)</w:t>
      </w:r>
      <w:r w:rsidR="00642363" w:rsidRPr="003B0C9B">
        <w:rPr>
          <w:rFonts w:ascii="Times New Roman" w:eastAsia="Calibri" w:hAnsi="Times New Roman" w:cs="Times New Roman"/>
          <w:sz w:val="24"/>
          <w:szCs w:val="24"/>
        </w:rPr>
        <w:fldChar w:fldCharType="end"/>
      </w:r>
      <w:r w:rsidR="001B1931" w:rsidRPr="003B0C9B">
        <w:rPr>
          <w:rFonts w:ascii="Times New Roman" w:eastAsia="Calibri" w:hAnsi="Times New Roman" w:cs="Times New Roman"/>
          <w:sz w:val="24"/>
          <w:szCs w:val="24"/>
        </w:rPr>
        <w:t>.</w:t>
      </w:r>
    </w:p>
    <w:p w14:paraId="4AF00A71" w14:textId="54C854A9" w:rsidR="00F31442" w:rsidRPr="00CC7D4F" w:rsidRDefault="006D12FA" w:rsidP="00B7396F">
      <w:pPr>
        <w:tabs>
          <w:tab w:val="left" w:pos="1155"/>
        </w:tabs>
        <w:spacing w:line="360" w:lineRule="auto"/>
        <w:jc w:val="both"/>
        <w:rPr>
          <w:rFonts w:ascii="Times New Roman" w:eastAsia="Calibri" w:hAnsi="Times New Roman" w:cs="Times New Roman"/>
          <w:sz w:val="24"/>
          <w:szCs w:val="24"/>
        </w:rPr>
      </w:pPr>
      <w:r w:rsidRPr="003B0C9B">
        <w:rPr>
          <w:rFonts w:ascii="Times New Roman" w:eastAsia="Calibri" w:hAnsi="Times New Roman" w:cs="Times New Roman"/>
          <w:sz w:val="24"/>
          <w:szCs w:val="24"/>
        </w:rPr>
        <w:t xml:space="preserve">En </w:t>
      </w:r>
      <w:r w:rsidR="00885AA6" w:rsidRPr="003B0C9B">
        <w:rPr>
          <w:rFonts w:ascii="Times New Roman" w:eastAsia="Calibri" w:hAnsi="Times New Roman" w:cs="Times New Roman"/>
          <w:sz w:val="24"/>
          <w:szCs w:val="24"/>
        </w:rPr>
        <w:t>nuestro</w:t>
      </w:r>
      <w:r w:rsidRPr="003B0C9B">
        <w:rPr>
          <w:rFonts w:ascii="Times New Roman" w:eastAsia="Calibri" w:hAnsi="Times New Roman" w:cs="Times New Roman"/>
          <w:sz w:val="24"/>
          <w:szCs w:val="24"/>
        </w:rPr>
        <w:t xml:space="preserve"> estudio, los resultados no muestran una relación directa con la periodontitis crónica en la población yucateca analizada. </w:t>
      </w:r>
      <w:r w:rsidR="00CC7D4F" w:rsidRPr="003B0C9B">
        <w:rPr>
          <w:rFonts w:ascii="Times New Roman" w:eastAsia="Calibri" w:hAnsi="Times New Roman" w:cs="Times New Roman"/>
          <w:sz w:val="24"/>
          <w:szCs w:val="24"/>
        </w:rPr>
        <w:t xml:space="preserve">Sin embargo, dadas las diferencias en la distribución alélica entre etnias, en otras poblaciones </w:t>
      </w:r>
      <w:r w:rsidR="001B1931" w:rsidRPr="003B0C9B">
        <w:rPr>
          <w:rFonts w:ascii="Times New Roman" w:eastAsia="Calibri" w:hAnsi="Times New Roman" w:cs="Times New Roman"/>
          <w:sz w:val="24"/>
          <w:szCs w:val="24"/>
        </w:rPr>
        <w:t>se han descrito distintas asociaciones.</w:t>
      </w:r>
      <w:r w:rsidR="00CC7D4F" w:rsidRPr="003B0C9B">
        <w:rPr>
          <w:rFonts w:ascii="Times New Roman" w:eastAsia="Calibri" w:hAnsi="Times New Roman" w:cs="Times New Roman"/>
          <w:sz w:val="24"/>
          <w:szCs w:val="24"/>
        </w:rPr>
        <w:t xml:space="preserve"> Por ejemplo, e</w:t>
      </w:r>
      <w:r w:rsidR="001B1931" w:rsidRPr="003B0C9B">
        <w:rPr>
          <w:rFonts w:ascii="Times New Roman" w:eastAsia="Calibri" w:hAnsi="Times New Roman" w:cs="Times New Roman"/>
          <w:sz w:val="24"/>
          <w:szCs w:val="24"/>
        </w:rPr>
        <w:t xml:space="preserve">l genotipo GG en americanos nativos y caucásicos ha sido asociado a </w:t>
      </w:r>
      <w:r w:rsidR="004759C3" w:rsidRPr="003B0C9B">
        <w:rPr>
          <w:rFonts w:ascii="Times New Roman" w:eastAsia="Calibri" w:hAnsi="Times New Roman" w:cs="Times New Roman"/>
          <w:sz w:val="24"/>
          <w:szCs w:val="24"/>
        </w:rPr>
        <w:t>diabetes tipo 2</w:t>
      </w:r>
      <w:r w:rsidR="00A43ED4" w:rsidRPr="003B0C9B">
        <w:rPr>
          <w:rFonts w:ascii="Times New Roman" w:eastAsia="Calibri" w:hAnsi="Times New Roman" w:cs="Times New Roman"/>
          <w:sz w:val="24"/>
          <w:szCs w:val="24"/>
        </w:rPr>
        <w:t>,</w:t>
      </w:r>
      <w:r w:rsidR="00443761" w:rsidRPr="003B0C9B">
        <w:rPr>
          <w:rFonts w:ascii="Times New Roman" w:eastAsia="Calibri" w:hAnsi="Times New Roman" w:cs="Times New Roman"/>
          <w:sz w:val="24"/>
          <w:szCs w:val="24"/>
        </w:rPr>
        <w:t xml:space="preserve"> y</w:t>
      </w:r>
      <w:r w:rsidR="001B1931" w:rsidRPr="003B0C9B">
        <w:rPr>
          <w:rFonts w:ascii="Times New Roman" w:eastAsia="Calibri" w:hAnsi="Times New Roman" w:cs="Times New Roman"/>
          <w:sz w:val="24"/>
          <w:szCs w:val="24"/>
        </w:rPr>
        <w:t xml:space="preserve"> </w:t>
      </w:r>
      <w:r w:rsidR="00443761" w:rsidRPr="003B0C9B">
        <w:rPr>
          <w:rFonts w:ascii="Times New Roman" w:eastAsia="Calibri" w:hAnsi="Times New Roman" w:cs="Times New Roman"/>
          <w:sz w:val="24"/>
          <w:szCs w:val="24"/>
        </w:rPr>
        <w:t>en la población española, se ha asociado al alelo G con hiperglucemia, con una disminución en la sensibilidad a la insulina y con alteraciones lipídicas</w:t>
      </w:r>
      <w:r w:rsidR="00A43ED4" w:rsidRPr="003B0C9B">
        <w:rPr>
          <w:rFonts w:ascii="Times New Roman" w:eastAsia="Calibri" w:hAnsi="Times New Roman" w:cs="Times New Roman"/>
          <w:sz w:val="24"/>
          <w:szCs w:val="24"/>
        </w:rPr>
        <w:t>.</w:t>
      </w:r>
      <w:r w:rsidR="00CC7D4F" w:rsidRPr="003B0C9B">
        <w:rPr>
          <w:rFonts w:ascii="Times New Roman" w:eastAsia="Calibri" w:hAnsi="Times New Roman" w:cs="Times New Roman"/>
          <w:sz w:val="24"/>
          <w:szCs w:val="24"/>
        </w:rPr>
        <w:t xml:space="preserve"> </w:t>
      </w:r>
      <w:r w:rsidR="00A43ED4" w:rsidRPr="003B0C9B">
        <w:rPr>
          <w:rFonts w:ascii="Times New Roman" w:eastAsia="Calibri" w:hAnsi="Times New Roman" w:cs="Times New Roman"/>
          <w:sz w:val="24"/>
          <w:szCs w:val="24"/>
        </w:rPr>
        <w:t>E</w:t>
      </w:r>
      <w:r w:rsidR="001B1931" w:rsidRPr="003B0C9B">
        <w:rPr>
          <w:rFonts w:ascii="Times New Roman" w:eastAsia="Calibri" w:hAnsi="Times New Roman" w:cs="Times New Roman"/>
          <w:sz w:val="24"/>
          <w:szCs w:val="24"/>
        </w:rPr>
        <w:t xml:space="preserve">n </w:t>
      </w:r>
      <w:r w:rsidR="00A43ED4" w:rsidRPr="003B0C9B">
        <w:rPr>
          <w:rFonts w:ascii="Times New Roman" w:eastAsia="Calibri" w:hAnsi="Times New Roman" w:cs="Times New Roman"/>
          <w:sz w:val="24"/>
          <w:szCs w:val="24"/>
        </w:rPr>
        <w:t xml:space="preserve">la </w:t>
      </w:r>
      <w:r w:rsidR="001B1931" w:rsidRPr="003B0C9B">
        <w:rPr>
          <w:rFonts w:ascii="Times New Roman" w:eastAsia="Calibri" w:hAnsi="Times New Roman" w:cs="Times New Roman"/>
          <w:sz w:val="24"/>
          <w:szCs w:val="24"/>
        </w:rPr>
        <w:t xml:space="preserve">población sueca y franco-canadiense </w:t>
      </w:r>
      <w:r w:rsidR="00A43ED4" w:rsidRPr="003B0C9B">
        <w:rPr>
          <w:rFonts w:ascii="Times New Roman" w:eastAsia="Calibri" w:hAnsi="Times New Roman" w:cs="Times New Roman"/>
          <w:sz w:val="24"/>
          <w:szCs w:val="24"/>
        </w:rPr>
        <w:t xml:space="preserve">se </w:t>
      </w:r>
      <w:r w:rsidR="001B1931" w:rsidRPr="003B0C9B">
        <w:rPr>
          <w:rFonts w:ascii="Times New Roman" w:eastAsia="Calibri" w:hAnsi="Times New Roman" w:cs="Times New Roman"/>
          <w:sz w:val="24"/>
          <w:szCs w:val="24"/>
        </w:rPr>
        <w:t>ha relacionado al alelo C con índices de obesidad</w:t>
      </w:r>
      <w:r w:rsidR="00642363" w:rsidRPr="003B0C9B">
        <w:rPr>
          <w:rFonts w:ascii="Times New Roman" w:eastAsia="Calibri" w:hAnsi="Times New Roman" w:cs="Times New Roman"/>
          <w:sz w:val="24"/>
          <w:szCs w:val="24"/>
        </w:rPr>
        <w:t xml:space="preserve"> </w:t>
      </w:r>
      <w:r w:rsidR="00642363" w:rsidRPr="003B0C9B">
        <w:rPr>
          <w:rFonts w:ascii="Times New Roman" w:eastAsia="Calibri" w:hAnsi="Times New Roman" w:cs="Times New Roman"/>
          <w:sz w:val="24"/>
          <w:szCs w:val="24"/>
        </w:rPr>
        <w:fldChar w:fldCharType="begin" w:fldLock="1"/>
      </w:r>
      <w:r w:rsidR="00F2052F">
        <w:rPr>
          <w:rFonts w:ascii="Times New Roman" w:eastAsia="Calibri" w:hAnsi="Times New Roman" w:cs="Times New Roman"/>
          <w:sz w:val="24"/>
          <w:szCs w:val="24"/>
        </w:rPr>
        <w:instrText>ADDIN CSL_CITATION {"citationItems":[{"id":"ITEM-1","itemData":{"DOI":"10.2337/diabetes.52.7.1872","ISSN":"0012-1797","author":[{"dropping-particle":"","family":"Kubaszek","given":"A.","non-dropping-particle":"","parse-names":false,"suffix":""},{"dropping-particle":"","family":"Pihlajamaki","given":"J.","non-dropping-particle":"","parse-names":false,"suffix":""},{"dropping-particle":"","family":"Komarovski","given":"V.","non-dropping-particle":"","parse-names":false,"suffix":""},{"dropping-particle":"","family":"Lindi","given":"V.","non-dropping-particle":"","parse-names":false,"suffix":""},{"dropping-particle":"","family":"Lindstrom","given":"J.","non-dropping-particle":"","parse-names":false,"suffix":""},{"dropping-particle":"","family":"Eriksson","given":"J.","non-dropping-particle":"","parse-names":false,"suffix":""},{"dropping-particle":"","family":"Valle","given":"T. T.","non-dropping-particle":"","parse-names":false,"suffix":""},{"dropping-particle":"","family":"Hamalainen","given":"H.","non-dropping-particle":"","parse-names":false,"suffix":""},{"dropping-particle":"","family":"Ilanne-Parikka","given":"P.","non-dropping-particle":"","parse-names":false,"suffix":""},{"dropping-particle":"","family":"Keinanen-Kiukaanniemi","given":"S.","non-dropping-particle":"","parse-names":false,"suffix":""},{"dropping-particle":"","family":"Tuomilehto","given":"J.","non-dropping-particle":"","parse-names":false,"suffix":""},{"dropping-particle":"","family":"Uusitupa","given":"M.","non-dropping-particle":"","parse-names":false,"suffix":""},{"dropping-particle":"","family":"Laakso","given":"M.","non-dropping-particle":"","parse-names":false,"suffix":""}],"container-title":"Diabetes","id":"ITEM-1","issue":"7","issued":{"date-parts":[["2003","7","1"]]},"page":"1872-1876","title":"Promoter Polymorphisms of the TNF- (G-308A) and IL-6 (C-174G) Genes Predict the Conversion From Impaired Glucose Tolerance to Type 2 Diabetes: The Finnish Diabetes Prevention Study","type":"article-journal","volume":"52"},"uris":["http://www.mendeley.com/documents/?uuid=7e428112-7a74-4f49-9681-232e1bd14d12"]},{"id":"ITEM-2","itemData":{"DOI":"10.1007/s11033-013-2621-4","ISSN":"0301-4851","author":[{"dropping-particle":"","family":"Song","given":"Gwan Gyu","non-dropping-particle":"","parse-names":false,"suffix":""},{"dropping-particle":"","family":"Choi","given":"Sung Jae","non-dropping-particle":"","parse-names":false,"suffix":""},{"dropping-particle":"","family":"Ji","given":"Jong Dae","non-dropping-particle":"","parse-names":false,"suffix":""},{"dropping-particle":"","family":"Lee","given":"Young Ho","non-dropping-particle":"","parse-names":false,"suffix":""}],"container-title":"Molecular Biology Reports","id":"ITEM-2","issue":"8","issued":{"date-parts":[["2013","8","9"]]},"page":"5191-5203","title":"Association between tumor necrosis factor-α promoter −308 A/G, −238 A/G, interleukin-6 −174 G/C and −572 G/C polymorphisms and periodontal disease: a meta-analysis","type":"article-journal","volume":"40"},"uris":["http://www.mendeley.com/documents/?uuid=31a05dc9-1b81-489a-a3c3-286e018cc712"]}],"mendeley":{"formattedCitation":"(18,21)","plainTextFormattedCitation":"(18,21)","previouslyFormattedCitation":"(17,20)"},"properties":{"noteIndex":0},"schema":"https://github.com/citation-style-language/schema/raw/master/csl-citation.json"}</w:instrText>
      </w:r>
      <w:r w:rsidR="00642363" w:rsidRPr="003B0C9B">
        <w:rPr>
          <w:rFonts w:ascii="Times New Roman" w:eastAsia="Calibri" w:hAnsi="Times New Roman" w:cs="Times New Roman"/>
          <w:sz w:val="24"/>
          <w:szCs w:val="24"/>
        </w:rPr>
        <w:fldChar w:fldCharType="separate"/>
      </w:r>
      <w:r w:rsidR="00F2052F" w:rsidRPr="00F2052F">
        <w:rPr>
          <w:rFonts w:ascii="Times New Roman" w:eastAsia="Calibri" w:hAnsi="Times New Roman" w:cs="Times New Roman"/>
          <w:noProof/>
          <w:sz w:val="24"/>
          <w:szCs w:val="24"/>
        </w:rPr>
        <w:t>(18,21)</w:t>
      </w:r>
      <w:r w:rsidR="00642363" w:rsidRPr="003B0C9B">
        <w:rPr>
          <w:rFonts w:ascii="Times New Roman" w:eastAsia="Calibri" w:hAnsi="Times New Roman" w:cs="Times New Roman"/>
          <w:sz w:val="24"/>
          <w:szCs w:val="24"/>
        </w:rPr>
        <w:fldChar w:fldCharType="end"/>
      </w:r>
      <w:r w:rsidR="00D317E7">
        <w:rPr>
          <w:rFonts w:ascii="Times New Roman" w:eastAsia="Calibri" w:hAnsi="Times New Roman" w:cs="Times New Roman"/>
          <w:sz w:val="24"/>
          <w:szCs w:val="24"/>
        </w:rPr>
        <w:t>.</w:t>
      </w:r>
    </w:p>
    <w:p w14:paraId="75CD6CFC" w14:textId="7008B144" w:rsidR="00F31442" w:rsidRPr="003B0C9B" w:rsidRDefault="00CC7D4F" w:rsidP="00B7396F">
      <w:pPr>
        <w:tabs>
          <w:tab w:val="left" w:pos="1155"/>
        </w:tabs>
        <w:spacing w:line="360" w:lineRule="auto"/>
        <w:jc w:val="both"/>
        <w:rPr>
          <w:rFonts w:ascii="Times New Roman" w:eastAsia="Calibri" w:hAnsi="Times New Roman" w:cs="Times New Roman"/>
          <w:sz w:val="24"/>
          <w:szCs w:val="24"/>
        </w:rPr>
      </w:pPr>
      <w:r w:rsidRPr="00CC7D4F">
        <w:rPr>
          <w:rFonts w:ascii="Times New Roman" w:eastAsia="Calibri" w:hAnsi="Times New Roman" w:cs="Times New Roman"/>
          <w:sz w:val="24"/>
          <w:szCs w:val="24"/>
        </w:rPr>
        <w:t xml:space="preserve">En la periodontitis, </w:t>
      </w:r>
      <w:r w:rsidR="00B7396F">
        <w:rPr>
          <w:rFonts w:ascii="Times New Roman" w:eastAsia="Calibri" w:hAnsi="Times New Roman" w:cs="Times New Roman"/>
          <w:sz w:val="24"/>
          <w:szCs w:val="24"/>
        </w:rPr>
        <w:t>existen</w:t>
      </w:r>
      <w:r w:rsidRPr="00CC7D4F">
        <w:rPr>
          <w:rFonts w:ascii="Times New Roman" w:eastAsia="Calibri" w:hAnsi="Times New Roman" w:cs="Times New Roman"/>
          <w:sz w:val="24"/>
          <w:szCs w:val="24"/>
        </w:rPr>
        <w:t xml:space="preserve"> estudios que muestran que la edad es </w:t>
      </w:r>
      <w:r w:rsidR="00D317E7" w:rsidRPr="00CC7D4F">
        <w:rPr>
          <w:rFonts w:ascii="Times New Roman" w:eastAsia="Calibri" w:hAnsi="Times New Roman" w:cs="Times New Roman"/>
          <w:sz w:val="24"/>
          <w:szCs w:val="24"/>
        </w:rPr>
        <w:t>un factor importante</w:t>
      </w:r>
      <w:r w:rsidRPr="00CC7D4F">
        <w:rPr>
          <w:rFonts w:ascii="Times New Roman" w:eastAsia="Calibri" w:hAnsi="Times New Roman" w:cs="Times New Roman"/>
          <w:sz w:val="24"/>
          <w:szCs w:val="24"/>
        </w:rPr>
        <w:t>, dado</w:t>
      </w:r>
      <w:r>
        <w:rPr>
          <w:rFonts w:ascii="Times New Roman" w:eastAsia="Calibri" w:hAnsi="Times New Roman" w:cs="Times New Roman"/>
          <w:sz w:val="24"/>
          <w:szCs w:val="24"/>
        </w:rPr>
        <w:t xml:space="preserve"> que</w:t>
      </w:r>
      <w:r w:rsidR="00F31442" w:rsidRPr="00F705AB">
        <w:rPr>
          <w:rFonts w:ascii="Times New Roman" w:eastAsia="Calibri" w:hAnsi="Times New Roman" w:cs="Times New Roman"/>
          <w:sz w:val="24"/>
          <w:szCs w:val="24"/>
        </w:rPr>
        <w:t xml:space="preserve"> los sujetos con mayor edad</w:t>
      </w:r>
      <w:r>
        <w:rPr>
          <w:rFonts w:ascii="Times New Roman" w:eastAsia="Calibri" w:hAnsi="Times New Roman" w:cs="Times New Roman"/>
          <w:sz w:val="24"/>
          <w:szCs w:val="24"/>
        </w:rPr>
        <w:t xml:space="preserve"> son los más</w:t>
      </w:r>
      <w:r w:rsidR="00F31442" w:rsidRPr="00F705AB">
        <w:rPr>
          <w:rFonts w:ascii="Times New Roman" w:eastAsia="Calibri" w:hAnsi="Times New Roman" w:cs="Times New Roman"/>
          <w:sz w:val="24"/>
          <w:szCs w:val="24"/>
        </w:rPr>
        <w:t xml:space="preserve"> afectados</w:t>
      </w:r>
      <w:r>
        <w:rPr>
          <w:rFonts w:ascii="Times New Roman" w:eastAsia="Calibri" w:hAnsi="Times New Roman" w:cs="Times New Roman"/>
          <w:sz w:val="24"/>
          <w:szCs w:val="24"/>
        </w:rPr>
        <w:t>.</w:t>
      </w:r>
      <w:r w:rsidR="00F31442" w:rsidRPr="00F705AB">
        <w:rPr>
          <w:rFonts w:ascii="Times New Roman" w:eastAsia="Calibri" w:hAnsi="Times New Roman" w:cs="Times New Roman"/>
          <w:sz w:val="24"/>
          <w:szCs w:val="24"/>
        </w:rPr>
        <w:t xml:space="preserve"> </w:t>
      </w:r>
      <w:r>
        <w:rPr>
          <w:rFonts w:ascii="Times New Roman" w:eastAsia="Calibri" w:hAnsi="Times New Roman" w:cs="Times New Roman"/>
          <w:sz w:val="24"/>
          <w:szCs w:val="24"/>
        </w:rPr>
        <w:t>E</w:t>
      </w:r>
      <w:r w:rsidR="00F31442" w:rsidRPr="00F705AB">
        <w:rPr>
          <w:rFonts w:ascii="Times New Roman" w:eastAsia="Calibri" w:hAnsi="Times New Roman" w:cs="Times New Roman"/>
          <w:sz w:val="24"/>
          <w:szCs w:val="24"/>
        </w:rPr>
        <w:t>sta enfermedad inflamatoria</w:t>
      </w:r>
      <w:r>
        <w:rPr>
          <w:rFonts w:ascii="Times New Roman" w:eastAsia="Calibri" w:hAnsi="Times New Roman" w:cs="Times New Roman"/>
          <w:sz w:val="24"/>
          <w:szCs w:val="24"/>
        </w:rPr>
        <w:t>,</w:t>
      </w:r>
      <w:r w:rsidR="00F31442" w:rsidRPr="00F705AB">
        <w:rPr>
          <w:rFonts w:ascii="Times New Roman" w:eastAsia="Calibri" w:hAnsi="Times New Roman" w:cs="Times New Roman"/>
          <w:sz w:val="24"/>
          <w:szCs w:val="24"/>
        </w:rPr>
        <w:t xml:space="preserve"> </w:t>
      </w:r>
      <w:r>
        <w:rPr>
          <w:rFonts w:ascii="Times New Roman" w:eastAsia="Calibri" w:hAnsi="Times New Roman" w:cs="Times New Roman"/>
          <w:sz w:val="24"/>
          <w:szCs w:val="24"/>
        </w:rPr>
        <w:t>suele comenzar</w:t>
      </w:r>
      <w:r w:rsidR="00F31442" w:rsidRPr="00F705A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 causa de </w:t>
      </w:r>
      <w:r w:rsidR="00F31442" w:rsidRPr="00F705AB">
        <w:rPr>
          <w:rFonts w:ascii="Times New Roman" w:eastAsia="Calibri" w:hAnsi="Times New Roman" w:cs="Times New Roman"/>
          <w:sz w:val="24"/>
          <w:szCs w:val="24"/>
        </w:rPr>
        <w:t>agentes patógenos</w:t>
      </w:r>
      <w:r>
        <w:rPr>
          <w:rFonts w:ascii="Times New Roman" w:eastAsia="Calibri" w:hAnsi="Times New Roman" w:cs="Times New Roman"/>
          <w:sz w:val="24"/>
          <w:szCs w:val="24"/>
        </w:rPr>
        <w:t xml:space="preserve"> que alteran </w:t>
      </w:r>
      <w:r w:rsidR="00F31442" w:rsidRPr="00F705AB">
        <w:rPr>
          <w:rFonts w:ascii="Times New Roman" w:eastAsia="Calibri" w:hAnsi="Times New Roman" w:cs="Times New Roman"/>
          <w:sz w:val="24"/>
          <w:szCs w:val="24"/>
        </w:rPr>
        <w:t>el biofilm subgingival</w:t>
      </w:r>
      <w:r>
        <w:rPr>
          <w:rFonts w:ascii="Times New Roman" w:eastAsia="Calibri" w:hAnsi="Times New Roman" w:cs="Times New Roman"/>
          <w:sz w:val="24"/>
          <w:szCs w:val="24"/>
        </w:rPr>
        <w:t>.</w:t>
      </w:r>
      <w:r w:rsidR="00F31442" w:rsidRPr="00F705AB">
        <w:rPr>
          <w:rFonts w:ascii="Times New Roman" w:eastAsia="Calibri" w:hAnsi="Times New Roman" w:cs="Times New Roman"/>
          <w:sz w:val="24"/>
          <w:szCs w:val="24"/>
        </w:rPr>
        <w:t xml:space="preserve"> Nibali </w:t>
      </w:r>
      <w:r w:rsidR="00F31442" w:rsidRPr="00CC7D4F">
        <w:rPr>
          <w:rFonts w:ascii="Times New Roman" w:eastAsia="Calibri" w:hAnsi="Times New Roman" w:cs="Times New Roman"/>
          <w:i/>
          <w:iCs/>
          <w:sz w:val="24"/>
          <w:szCs w:val="24"/>
        </w:rPr>
        <w:t>et al</w:t>
      </w:r>
      <w:r>
        <w:rPr>
          <w:rFonts w:ascii="Times New Roman" w:eastAsia="Calibri" w:hAnsi="Times New Roman" w:cs="Times New Roman"/>
          <w:sz w:val="24"/>
          <w:szCs w:val="24"/>
        </w:rPr>
        <w:t>.</w:t>
      </w:r>
      <w:r w:rsidR="00F31442" w:rsidRPr="00F705AB">
        <w:rPr>
          <w:rFonts w:ascii="Times New Roman" w:eastAsia="Calibri" w:hAnsi="Times New Roman" w:cs="Times New Roman"/>
          <w:sz w:val="24"/>
          <w:szCs w:val="24"/>
        </w:rPr>
        <w:t xml:space="preserve"> </w:t>
      </w:r>
      <w:r w:rsidR="00F31442" w:rsidRPr="00F705AB">
        <w:rPr>
          <w:rFonts w:ascii="Times New Roman" w:eastAsia="Calibri" w:hAnsi="Times New Roman" w:cs="Times New Roman"/>
          <w:sz w:val="24"/>
          <w:szCs w:val="24"/>
        </w:rPr>
        <w:lastRenderedPageBreak/>
        <w:t>(2011) propone</w:t>
      </w:r>
      <w:r w:rsidR="00A43ED4">
        <w:rPr>
          <w:rFonts w:ascii="Times New Roman" w:eastAsia="Calibri" w:hAnsi="Times New Roman" w:cs="Times New Roman"/>
          <w:sz w:val="24"/>
          <w:szCs w:val="24"/>
        </w:rPr>
        <w:t>n</w:t>
      </w:r>
      <w:r w:rsidR="00F31442" w:rsidRPr="00F705AB">
        <w:rPr>
          <w:rFonts w:ascii="Times New Roman" w:eastAsia="Calibri" w:hAnsi="Times New Roman" w:cs="Times New Roman"/>
          <w:sz w:val="24"/>
          <w:szCs w:val="24"/>
        </w:rPr>
        <w:t xml:space="preserve"> una asociación positiva entre el genotipo GG y la presencia de </w:t>
      </w:r>
      <w:r w:rsidR="00F31442" w:rsidRPr="00AD2FD2">
        <w:rPr>
          <w:rFonts w:ascii="Times New Roman" w:eastAsia="Calibri" w:hAnsi="Times New Roman" w:cs="Times New Roman"/>
          <w:i/>
          <w:iCs/>
          <w:sz w:val="24"/>
          <w:szCs w:val="24"/>
        </w:rPr>
        <w:t xml:space="preserve">A. </w:t>
      </w:r>
      <w:r w:rsidR="00F31442" w:rsidRPr="003B0C9B">
        <w:rPr>
          <w:rFonts w:ascii="Times New Roman" w:eastAsia="Calibri" w:hAnsi="Times New Roman" w:cs="Times New Roman"/>
          <w:i/>
          <w:iCs/>
          <w:sz w:val="24"/>
          <w:szCs w:val="24"/>
        </w:rPr>
        <w:t>actinomycetemcomitans</w:t>
      </w:r>
      <w:r w:rsidR="00F31442" w:rsidRPr="003B0C9B">
        <w:rPr>
          <w:rFonts w:ascii="Times New Roman" w:eastAsia="Calibri" w:hAnsi="Times New Roman" w:cs="Times New Roman"/>
          <w:sz w:val="24"/>
          <w:szCs w:val="24"/>
        </w:rPr>
        <w:t xml:space="preserve"> y </w:t>
      </w:r>
      <w:r w:rsidR="00F31442" w:rsidRPr="003B0C9B">
        <w:rPr>
          <w:rFonts w:ascii="Times New Roman" w:eastAsia="Calibri" w:hAnsi="Times New Roman" w:cs="Times New Roman"/>
          <w:i/>
          <w:iCs/>
          <w:sz w:val="24"/>
          <w:szCs w:val="24"/>
        </w:rPr>
        <w:t>Capnocytophaga sputigena</w:t>
      </w:r>
      <w:r w:rsidR="00F31442" w:rsidRPr="003B0C9B">
        <w:rPr>
          <w:rFonts w:ascii="Times New Roman" w:eastAsia="Calibri" w:hAnsi="Times New Roman" w:cs="Times New Roman"/>
          <w:sz w:val="24"/>
          <w:szCs w:val="24"/>
        </w:rPr>
        <w:t xml:space="preserve"> en el biofilm subgingival</w:t>
      </w:r>
      <w:r w:rsidR="00AD2FD2" w:rsidRPr="003B0C9B">
        <w:rPr>
          <w:rFonts w:ascii="Times New Roman" w:eastAsia="Calibri" w:hAnsi="Times New Roman" w:cs="Times New Roman"/>
          <w:sz w:val="24"/>
          <w:szCs w:val="24"/>
        </w:rPr>
        <w:t xml:space="preserve"> que podría derivar en el desarrollo de la enfermedad</w:t>
      </w:r>
      <w:r w:rsidR="001543F7" w:rsidRPr="003B0C9B">
        <w:rPr>
          <w:rFonts w:ascii="Times New Roman" w:eastAsia="Calibri" w:hAnsi="Times New Roman" w:cs="Times New Roman"/>
          <w:sz w:val="24"/>
          <w:szCs w:val="24"/>
        </w:rPr>
        <w:t xml:space="preserve"> </w:t>
      </w:r>
      <w:r w:rsidR="00642363" w:rsidRPr="003B0C9B">
        <w:rPr>
          <w:rFonts w:ascii="Times New Roman" w:eastAsia="Calibri" w:hAnsi="Times New Roman" w:cs="Times New Roman"/>
          <w:sz w:val="24"/>
          <w:szCs w:val="24"/>
        </w:rPr>
        <w:fldChar w:fldCharType="begin" w:fldLock="1"/>
      </w:r>
      <w:r w:rsidR="00F2052F">
        <w:rPr>
          <w:rFonts w:ascii="Times New Roman" w:eastAsia="Calibri" w:hAnsi="Times New Roman" w:cs="Times New Roman"/>
          <w:sz w:val="24"/>
          <w:szCs w:val="24"/>
        </w:rPr>
        <w:instrText>ADDIN CSL_CITATION {"citationItems":[{"id":"ITEM-1","itemData":{"author":[{"dropping-particle":"","family":"Nibali","given":"L.","non-dropping-particle":"","parse-names":false,"suffix":""},{"dropping-particle":"","family":"Madden","given":"I.","non-dropping-particle":"","parse-names":false,"suffix":""},{"dropping-particle":"","family":"F.","given":"Franch","non-dropping-particle":"","parse-names":false,"suffix":""},{"dropping-particle":"","family":"Chillida","given":"L.","non-dropping-particle":"","parse-names":false,"suffix":""},{"dropping-particle":"","family":"Heitz-Mayfield","given":"L.","non-dropping-particle":"","parse-names":false,"suffix":""},{"dropping-particle":"","family":"Brett","given":"P.","non-dropping-particle":"","parse-names":false,"suffix":""},{"dropping-particle":"","family":"Donos","given":"N.","non-dropping-particle":"","parse-names":false,"suffix":""}],"container-title":"Oral Diseases","id":"ITEM-1","issue":"2","issued":{"date-parts":[["2011"]]},"page":"232-237","title":"IL6 -174 genotype associated with Aggregatibacter actinomycetemcomitans in Indians","type":"article-journal","volume":"17"},"uris":["http://www.mendeley.com/documents/?uuid=05df7faa-0508-4d0b-b35b-945d696fb130"]}],"mendeley":{"formattedCitation":"(22)","plainTextFormattedCitation":"(22)","previouslyFormattedCitation":"(21)"},"properties":{"noteIndex":0},"schema":"https://github.com/citation-style-language/schema/raw/master/csl-citation.json"}</w:instrText>
      </w:r>
      <w:r w:rsidR="00642363" w:rsidRPr="003B0C9B">
        <w:rPr>
          <w:rFonts w:ascii="Times New Roman" w:eastAsia="Calibri" w:hAnsi="Times New Roman" w:cs="Times New Roman"/>
          <w:sz w:val="24"/>
          <w:szCs w:val="24"/>
        </w:rPr>
        <w:fldChar w:fldCharType="separate"/>
      </w:r>
      <w:r w:rsidR="00F2052F" w:rsidRPr="00F2052F">
        <w:rPr>
          <w:rFonts w:ascii="Times New Roman" w:eastAsia="Calibri" w:hAnsi="Times New Roman" w:cs="Times New Roman"/>
          <w:noProof/>
          <w:sz w:val="24"/>
          <w:szCs w:val="24"/>
        </w:rPr>
        <w:t>(22)</w:t>
      </w:r>
      <w:r w:rsidR="00642363" w:rsidRPr="003B0C9B">
        <w:rPr>
          <w:rFonts w:ascii="Times New Roman" w:eastAsia="Calibri" w:hAnsi="Times New Roman" w:cs="Times New Roman"/>
          <w:sz w:val="24"/>
          <w:szCs w:val="24"/>
        </w:rPr>
        <w:fldChar w:fldCharType="end"/>
      </w:r>
      <w:r w:rsidR="00F31442" w:rsidRPr="003B0C9B">
        <w:rPr>
          <w:rFonts w:ascii="Times New Roman" w:eastAsia="Calibri" w:hAnsi="Times New Roman" w:cs="Times New Roman"/>
          <w:sz w:val="24"/>
          <w:szCs w:val="24"/>
        </w:rPr>
        <w:t xml:space="preserve">. Raunio </w:t>
      </w:r>
      <w:r w:rsidR="00F31442" w:rsidRPr="003B0C9B">
        <w:rPr>
          <w:rFonts w:ascii="Times New Roman" w:eastAsia="Calibri" w:hAnsi="Times New Roman" w:cs="Times New Roman"/>
          <w:i/>
          <w:iCs/>
          <w:sz w:val="24"/>
          <w:szCs w:val="24"/>
        </w:rPr>
        <w:t>et al.</w:t>
      </w:r>
      <w:r w:rsidR="00F31442" w:rsidRPr="003B0C9B">
        <w:rPr>
          <w:rFonts w:ascii="Times New Roman" w:eastAsia="Calibri" w:hAnsi="Times New Roman" w:cs="Times New Roman"/>
          <w:sz w:val="24"/>
          <w:szCs w:val="24"/>
        </w:rPr>
        <w:t xml:space="preserve"> (2007) demostr</w:t>
      </w:r>
      <w:r w:rsidR="00AD2FD2" w:rsidRPr="003B0C9B">
        <w:rPr>
          <w:rFonts w:ascii="Times New Roman" w:eastAsia="Calibri" w:hAnsi="Times New Roman" w:cs="Times New Roman"/>
          <w:sz w:val="24"/>
          <w:szCs w:val="24"/>
        </w:rPr>
        <w:t>aron</w:t>
      </w:r>
      <w:r w:rsidR="00F31442" w:rsidRPr="003B0C9B">
        <w:rPr>
          <w:rFonts w:ascii="Times New Roman" w:eastAsia="Calibri" w:hAnsi="Times New Roman" w:cs="Times New Roman"/>
          <w:sz w:val="24"/>
          <w:szCs w:val="24"/>
        </w:rPr>
        <w:t xml:space="preserve"> </w:t>
      </w:r>
      <w:r w:rsidR="00AD2FD2" w:rsidRPr="003B0C9B">
        <w:rPr>
          <w:rFonts w:ascii="Times New Roman" w:eastAsia="Calibri" w:hAnsi="Times New Roman" w:cs="Times New Roman"/>
          <w:sz w:val="24"/>
          <w:szCs w:val="24"/>
        </w:rPr>
        <w:t>asociación</w:t>
      </w:r>
      <w:r w:rsidR="00F31442" w:rsidRPr="003B0C9B">
        <w:rPr>
          <w:rFonts w:ascii="Times New Roman" w:eastAsia="Calibri" w:hAnsi="Times New Roman" w:cs="Times New Roman"/>
          <w:sz w:val="24"/>
          <w:szCs w:val="24"/>
        </w:rPr>
        <w:t xml:space="preserve"> entre el polimorfismo </w:t>
      </w:r>
      <w:r w:rsidR="00AD2FD2" w:rsidRPr="003B0C9B">
        <w:rPr>
          <w:rFonts w:ascii="Times New Roman" w:eastAsia="Calibri" w:hAnsi="Times New Roman" w:cs="Times New Roman"/>
          <w:sz w:val="24"/>
          <w:szCs w:val="24"/>
        </w:rPr>
        <w:t>g.</w:t>
      </w:r>
      <w:r w:rsidR="00F31442" w:rsidRPr="003B0C9B">
        <w:rPr>
          <w:rFonts w:ascii="Times New Roman" w:eastAsia="Calibri" w:hAnsi="Times New Roman" w:cs="Times New Roman"/>
          <w:sz w:val="24"/>
          <w:szCs w:val="24"/>
        </w:rPr>
        <w:t>-174</w:t>
      </w:r>
      <w:r w:rsidR="00AD2FD2" w:rsidRPr="003B0C9B">
        <w:rPr>
          <w:rFonts w:ascii="Times New Roman" w:eastAsia="Calibri" w:hAnsi="Times New Roman" w:cs="Times New Roman"/>
          <w:sz w:val="24"/>
          <w:szCs w:val="24"/>
        </w:rPr>
        <w:t xml:space="preserve">G/C </w:t>
      </w:r>
      <w:r w:rsidR="00F31442" w:rsidRPr="003B0C9B">
        <w:rPr>
          <w:rFonts w:ascii="Times New Roman" w:eastAsia="Calibri" w:hAnsi="Times New Roman" w:cs="Times New Roman"/>
          <w:sz w:val="24"/>
          <w:szCs w:val="24"/>
        </w:rPr>
        <w:t>y la presencia de</w:t>
      </w:r>
      <w:r w:rsidR="00AD2FD2" w:rsidRPr="003B0C9B">
        <w:rPr>
          <w:rFonts w:ascii="Times New Roman" w:eastAsia="Calibri" w:hAnsi="Times New Roman" w:cs="Times New Roman"/>
          <w:sz w:val="24"/>
          <w:szCs w:val="24"/>
        </w:rPr>
        <w:t xml:space="preserve"> la </w:t>
      </w:r>
      <w:r w:rsidR="00F31442" w:rsidRPr="003B0C9B">
        <w:rPr>
          <w:rFonts w:ascii="Times New Roman" w:eastAsia="Calibri" w:hAnsi="Times New Roman" w:cs="Times New Roman"/>
          <w:sz w:val="24"/>
          <w:szCs w:val="24"/>
        </w:rPr>
        <w:t xml:space="preserve">IL-6 en </w:t>
      </w:r>
      <w:r w:rsidR="00A43ED4" w:rsidRPr="003B0C9B">
        <w:rPr>
          <w:rFonts w:ascii="Times New Roman" w:eastAsia="Calibri" w:hAnsi="Times New Roman" w:cs="Times New Roman"/>
          <w:sz w:val="24"/>
          <w:szCs w:val="24"/>
        </w:rPr>
        <w:t xml:space="preserve">52 </w:t>
      </w:r>
      <w:r w:rsidR="00F31442" w:rsidRPr="003B0C9B">
        <w:rPr>
          <w:rFonts w:ascii="Times New Roman" w:eastAsia="Calibri" w:hAnsi="Times New Roman" w:cs="Times New Roman"/>
          <w:sz w:val="24"/>
          <w:szCs w:val="24"/>
        </w:rPr>
        <w:t xml:space="preserve">pacientes </w:t>
      </w:r>
      <w:r w:rsidR="00A43ED4" w:rsidRPr="003B0C9B">
        <w:rPr>
          <w:rFonts w:ascii="Times New Roman" w:eastAsia="Calibri" w:hAnsi="Times New Roman" w:cs="Times New Roman"/>
          <w:sz w:val="24"/>
          <w:szCs w:val="24"/>
        </w:rPr>
        <w:t xml:space="preserve">de origen finlandés </w:t>
      </w:r>
      <w:r w:rsidR="00F31442" w:rsidRPr="003B0C9B">
        <w:rPr>
          <w:rFonts w:ascii="Times New Roman" w:eastAsia="Calibri" w:hAnsi="Times New Roman" w:cs="Times New Roman"/>
          <w:sz w:val="24"/>
          <w:szCs w:val="24"/>
        </w:rPr>
        <w:t>con periodontitis severa</w:t>
      </w:r>
      <w:r w:rsidR="001543F7" w:rsidRPr="003B0C9B">
        <w:rPr>
          <w:rFonts w:ascii="Times New Roman" w:eastAsia="Calibri" w:hAnsi="Times New Roman" w:cs="Times New Roman"/>
          <w:sz w:val="24"/>
          <w:szCs w:val="24"/>
        </w:rPr>
        <w:t xml:space="preserve"> </w:t>
      </w:r>
      <w:r w:rsidR="00642363" w:rsidRPr="003B0C9B">
        <w:rPr>
          <w:rFonts w:ascii="Times New Roman" w:eastAsia="Calibri" w:hAnsi="Times New Roman" w:cs="Times New Roman"/>
          <w:sz w:val="24"/>
          <w:szCs w:val="24"/>
        </w:rPr>
        <w:fldChar w:fldCharType="begin" w:fldLock="1"/>
      </w:r>
      <w:r w:rsidR="00F2052F">
        <w:rPr>
          <w:rFonts w:ascii="Times New Roman" w:eastAsia="Calibri" w:hAnsi="Times New Roman" w:cs="Times New Roman"/>
          <w:sz w:val="24"/>
          <w:szCs w:val="24"/>
        </w:rPr>
        <w:instrText>ADDIN CSL_CITATION {"citationItems":[{"id":"ITEM-1","itemData":{"DOI":"10.1111/j.1600-051X.2007.01151.x","ISSN":"0303-6979","author":[{"dropping-particle":"","family":"Raunio","given":"Taina","non-dropping-particle":"","parse-names":false,"suffix":""},{"dropping-particle":"","family":"Nixdorf","given":"Marianne","non-dropping-particle":"","parse-names":false,"suffix":""},{"dropping-particle":"","family":"Knuuttila","given":"Matti","non-dropping-particle":"","parse-names":false,"suffix":""},{"dropping-particle":"","family":"Karttunen","given":"Riitta","non-dropping-particle":"","parse-names":false,"suffix":""},{"dropping-particle":"","family":"Vainio","given":"Olli","non-dropping-particle":"","parse-names":false,"suffix":""},{"dropping-particle":"","family":"Tervonen","given":"Tellervo","non-dropping-particle":"","parse-names":false,"suffix":""}],"container-title":"Journal of Clinical Periodontology","id":"ITEM-1","issue":"12","issued":{"date-parts":[["2007","12"]]},"page":"1025-1030","title":"The extent of periodontal disease and the IL-6 −174 genotype as determinants of serum IL-6 level","type":"article-journal","volume":"34"},"uris":["http://www.mendeley.com/documents/?uuid=3fa59510-b781-49f8-b8ec-5c2fb19b46c9"]}],"mendeley":{"formattedCitation":"(23)","plainTextFormattedCitation":"(23)","previouslyFormattedCitation":"(22)"},"properties":{"noteIndex":0},"schema":"https://github.com/citation-style-language/schema/raw/master/csl-citation.json"}</w:instrText>
      </w:r>
      <w:r w:rsidR="00642363" w:rsidRPr="003B0C9B">
        <w:rPr>
          <w:rFonts w:ascii="Times New Roman" w:eastAsia="Calibri" w:hAnsi="Times New Roman" w:cs="Times New Roman"/>
          <w:sz w:val="24"/>
          <w:szCs w:val="24"/>
        </w:rPr>
        <w:fldChar w:fldCharType="separate"/>
      </w:r>
      <w:r w:rsidR="00F2052F" w:rsidRPr="00F2052F">
        <w:rPr>
          <w:rFonts w:ascii="Times New Roman" w:eastAsia="Calibri" w:hAnsi="Times New Roman" w:cs="Times New Roman"/>
          <w:noProof/>
          <w:sz w:val="24"/>
          <w:szCs w:val="24"/>
        </w:rPr>
        <w:t>(23)</w:t>
      </w:r>
      <w:r w:rsidR="00642363" w:rsidRPr="003B0C9B">
        <w:rPr>
          <w:rFonts w:ascii="Times New Roman" w:eastAsia="Calibri" w:hAnsi="Times New Roman" w:cs="Times New Roman"/>
          <w:sz w:val="24"/>
          <w:szCs w:val="24"/>
        </w:rPr>
        <w:fldChar w:fldCharType="end"/>
      </w:r>
      <w:r w:rsidR="00A43ED4" w:rsidRPr="003B0C9B">
        <w:rPr>
          <w:rFonts w:ascii="Times New Roman" w:eastAsia="Calibri" w:hAnsi="Times New Roman" w:cs="Times New Roman"/>
          <w:sz w:val="24"/>
          <w:szCs w:val="24"/>
        </w:rPr>
        <w:t>.</w:t>
      </w:r>
      <w:r w:rsidR="00AD2FD2" w:rsidRPr="003B0C9B">
        <w:rPr>
          <w:rFonts w:ascii="Times New Roman" w:eastAsia="Calibri" w:hAnsi="Times New Roman" w:cs="Times New Roman"/>
          <w:sz w:val="24"/>
          <w:szCs w:val="24"/>
        </w:rPr>
        <w:t xml:space="preserve"> </w:t>
      </w:r>
      <w:r w:rsidR="00A43ED4" w:rsidRPr="003B0C9B">
        <w:rPr>
          <w:rFonts w:ascii="Times New Roman" w:eastAsia="Calibri" w:hAnsi="Times New Roman" w:cs="Times New Roman"/>
          <w:sz w:val="24"/>
          <w:szCs w:val="24"/>
        </w:rPr>
        <w:t>Estos datos sugieren la importancia de</w:t>
      </w:r>
      <w:r w:rsidR="00AD2FD2" w:rsidRPr="003B0C9B">
        <w:rPr>
          <w:rFonts w:ascii="Times New Roman" w:eastAsia="Calibri" w:hAnsi="Times New Roman" w:cs="Times New Roman"/>
          <w:sz w:val="24"/>
          <w:szCs w:val="24"/>
        </w:rPr>
        <w:t xml:space="preserve"> considerar las diferencias étnicas</w:t>
      </w:r>
      <w:r w:rsidR="00A43ED4" w:rsidRPr="003B0C9B">
        <w:rPr>
          <w:rFonts w:ascii="Times New Roman" w:eastAsia="Calibri" w:hAnsi="Times New Roman" w:cs="Times New Roman"/>
          <w:sz w:val="24"/>
          <w:szCs w:val="24"/>
        </w:rPr>
        <w:t xml:space="preserve"> en el estudio de la periodontitis</w:t>
      </w:r>
      <w:r w:rsidR="00307C42" w:rsidRPr="003B0C9B">
        <w:rPr>
          <w:rFonts w:ascii="Times New Roman" w:eastAsia="Calibri" w:hAnsi="Times New Roman" w:cs="Times New Roman"/>
          <w:sz w:val="24"/>
          <w:szCs w:val="24"/>
        </w:rPr>
        <w:t>.</w:t>
      </w:r>
    </w:p>
    <w:p w14:paraId="3FD762FA" w14:textId="354085BB" w:rsidR="00F31442" w:rsidRDefault="00F31442" w:rsidP="00B7396F">
      <w:pPr>
        <w:tabs>
          <w:tab w:val="left" w:pos="1155"/>
        </w:tabs>
        <w:spacing w:line="360" w:lineRule="auto"/>
        <w:jc w:val="both"/>
        <w:rPr>
          <w:rFonts w:ascii="Times New Roman" w:eastAsia="Calibri" w:hAnsi="Times New Roman" w:cs="Times New Roman"/>
          <w:sz w:val="24"/>
          <w:szCs w:val="24"/>
        </w:rPr>
      </w:pPr>
      <w:r w:rsidRPr="003B0C9B">
        <w:rPr>
          <w:rFonts w:ascii="Times New Roman" w:eastAsia="Calibri" w:hAnsi="Times New Roman" w:cs="Times New Roman"/>
          <w:sz w:val="24"/>
          <w:szCs w:val="24"/>
        </w:rPr>
        <w:t xml:space="preserve">Shao </w:t>
      </w:r>
      <w:r w:rsidRPr="003B0C9B">
        <w:rPr>
          <w:rFonts w:ascii="Times New Roman" w:eastAsia="Calibri" w:hAnsi="Times New Roman" w:cs="Times New Roman"/>
          <w:i/>
          <w:iCs/>
          <w:sz w:val="24"/>
          <w:szCs w:val="24"/>
        </w:rPr>
        <w:t>et al.</w:t>
      </w:r>
      <w:r w:rsidR="00404F7C" w:rsidRPr="003B0C9B">
        <w:rPr>
          <w:rFonts w:ascii="Times New Roman" w:eastAsia="Calibri" w:hAnsi="Times New Roman" w:cs="Times New Roman"/>
          <w:sz w:val="24"/>
          <w:szCs w:val="24"/>
        </w:rPr>
        <w:t xml:space="preserve"> </w:t>
      </w:r>
      <w:r w:rsidRPr="003B0C9B">
        <w:rPr>
          <w:rFonts w:ascii="Times New Roman" w:eastAsia="Calibri" w:hAnsi="Times New Roman" w:cs="Times New Roman"/>
          <w:sz w:val="24"/>
          <w:szCs w:val="24"/>
        </w:rPr>
        <w:t>(2009), realiz</w:t>
      </w:r>
      <w:r w:rsidR="00404F7C" w:rsidRPr="003B0C9B">
        <w:rPr>
          <w:rFonts w:ascii="Times New Roman" w:eastAsia="Calibri" w:hAnsi="Times New Roman" w:cs="Times New Roman"/>
          <w:sz w:val="24"/>
          <w:szCs w:val="24"/>
        </w:rPr>
        <w:t>aron</w:t>
      </w:r>
      <w:r w:rsidRPr="003B0C9B">
        <w:rPr>
          <w:rFonts w:ascii="Times New Roman" w:eastAsia="Calibri" w:hAnsi="Times New Roman" w:cs="Times New Roman"/>
          <w:sz w:val="24"/>
          <w:szCs w:val="24"/>
        </w:rPr>
        <w:t xml:space="preserve"> una revisión sistemática y </w:t>
      </w:r>
      <w:r w:rsidR="00C1337D" w:rsidRPr="003B0C9B">
        <w:rPr>
          <w:rFonts w:ascii="Times New Roman" w:eastAsia="Calibri" w:hAnsi="Times New Roman" w:cs="Times New Roman"/>
          <w:sz w:val="24"/>
          <w:szCs w:val="24"/>
        </w:rPr>
        <w:t>metaanálisis</w:t>
      </w:r>
      <w:r w:rsidRPr="003B0C9B">
        <w:rPr>
          <w:rFonts w:ascii="Times New Roman" w:eastAsia="Calibri" w:hAnsi="Times New Roman" w:cs="Times New Roman"/>
          <w:sz w:val="24"/>
          <w:szCs w:val="24"/>
        </w:rPr>
        <w:t xml:space="preserve"> basados en la asociación entre el </w:t>
      </w:r>
      <w:r w:rsidR="00404E44" w:rsidRPr="003B0C9B">
        <w:rPr>
          <w:rFonts w:ascii="Times New Roman" w:eastAsia="Calibri" w:hAnsi="Times New Roman" w:cs="Times New Roman"/>
          <w:sz w:val="24"/>
          <w:szCs w:val="24"/>
        </w:rPr>
        <w:t xml:space="preserve">g.-174 G/C </w:t>
      </w:r>
      <w:r w:rsidRPr="003B0C9B">
        <w:rPr>
          <w:rFonts w:ascii="Times New Roman" w:eastAsia="Calibri" w:hAnsi="Times New Roman" w:cs="Times New Roman"/>
          <w:sz w:val="24"/>
          <w:szCs w:val="24"/>
        </w:rPr>
        <w:t>y la periodontitis</w:t>
      </w:r>
      <w:r w:rsidR="00404E44" w:rsidRPr="003B0C9B">
        <w:rPr>
          <w:rFonts w:ascii="Times New Roman" w:eastAsia="Calibri" w:hAnsi="Times New Roman" w:cs="Times New Roman"/>
          <w:sz w:val="24"/>
          <w:szCs w:val="24"/>
        </w:rPr>
        <w:t>,</w:t>
      </w:r>
      <w:r w:rsidRPr="003B0C9B">
        <w:rPr>
          <w:rFonts w:ascii="Times New Roman" w:eastAsia="Calibri" w:hAnsi="Times New Roman" w:cs="Times New Roman"/>
          <w:sz w:val="24"/>
          <w:szCs w:val="24"/>
        </w:rPr>
        <w:t xml:space="preserve"> </w:t>
      </w:r>
      <w:r w:rsidR="00404F7C" w:rsidRPr="003B0C9B">
        <w:rPr>
          <w:rFonts w:ascii="Times New Roman" w:eastAsia="Calibri" w:hAnsi="Times New Roman" w:cs="Times New Roman"/>
          <w:sz w:val="24"/>
          <w:szCs w:val="24"/>
        </w:rPr>
        <w:t>reportando</w:t>
      </w:r>
      <w:r w:rsidRPr="003B0C9B">
        <w:rPr>
          <w:rFonts w:ascii="Times New Roman" w:eastAsia="Calibri" w:hAnsi="Times New Roman" w:cs="Times New Roman"/>
          <w:sz w:val="24"/>
          <w:szCs w:val="24"/>
        </w:rPr>
        <w:t xml:space="preserve"> que el genotipo GG aumentaba el riesgo de periodontitis</w:t>
      </w:r>
      <w:r w:rsidR="00404F7C" w:rsidRPr="003B0C9B">
        <w:rPr>
          <w:rFonts w:ascii="Times New Roman" w:eastAsia="Calibri" w:hAnsi="Times New Roman" w:cs="Times New Roman"/>
          <w:sz w:val="24"/>
          <w:szCs w:val="24"/>
        </w:rPr>
        <w:t xml:space="preserve"> agresiva, pero no modificaba el riesgo para la crónica</w:t>
      </w:r>
      <w:r w:rsidR="001543F7" w:rsidRPr="003B0C9B">
        <w:rPr>
          <w:rFonts w:ascii="Times New Roman" w:eastAsia="Calibri" w:hAnsi="Times New Roman" w:cs="Times New Roman"/>
          <w:sz w:val="24"/>
          <w:szCs w:val="24"/>
        </w:rPr>
        <w:t xml:space="preserve"> </w:t>
      </w:r>
      <w:r w:rsidR="00642363" w:rsidRPr="003B0C9B">
        <w:rPr>
          <w:rFonts w:ascii="Times New Roman" w:eastAsia="Calibri" w:hAnsi="Times New Roman" w:cs="Times New Roman"/>
          <w:sz w:val="24"/>
          <w:szCs w:val="24"/>
        </w:rPr>
        <w:fldChar w:fldCharType="begin" w:fldLock="1"/>
      </w:r>
      <w:r w:rsidR="00F2052F">
        <w:rPr>
          <w:rFonts w:ascii="Times New Roman" w:eastAsia="Calibri" w:hAnsi="Times New Roman" w:cs="Times New Roman"/>
          <w:sz w:val="24"/>
          <w:szCs w:val="24"/>
        </w:rPr>
        <w:instrText>ADDIN CSL_CITATION {"citationItems":[{"id":"ITEM-1","itemData":{"DOI":"10.1631/jzus.B0920279","ISSN":"1673-1581","author":[{"dropping-particle":"","family":"Shao","given":"Mei-ying","non-dropping-particle":"","parse-names":false,"suffix":""},{"dropping-particle":"","family":"Huang","given":"Ping","non-dropping-particle":"","parse-names":false,"suffix":""},{"dropping-particle":"","family":"Cheng","given":"Ran","non-dropping-particle":"","parse-names":false,"suffix":""},{"dropping-particle":"","family":"Hu","given":"Tao","non-dropping-particle":"","parse-names":false,"suffix":""}],"container-title":"Journal of Zhejiang University Science B","id":"ITEM-1","issue":"12","issued":{"date-parts":[["2009","12","4"]]},"page":"920-927","title":"Interleukin-6 polymorphisms modify the risk of periodontitis:a systematic review and meta-analysis","type":"article-journal","volume":"10"},"uris":["http://www.mendeley.com/documents/?uuid=eac42e4e-a66f-424c-a90a-edb43c139753"]}],"mendeley":{"formattedCitation":"(24)","plainTextFormattedCitation":"(24)","previouslyFormattedCitation":"(23)"},"properties":{"noteIndex":0},"schema":"https://github.com/citation-style-language/schema/raw/master/csl-citation.json"}</w:instrText>
      </w:r>
      <w:r w:rsidR="00642363" w:rsidRPr="003B0C9B">
        <w:rPr>
          <w:rFonts w:ascii="Times New Roman" w:eastAsia="Calibri" w:hAnsi="Times New Roman" w:cs="Times New Roman"/>
          <w:sz w:val="24"/>
          <w:szCs w:val="24"/>
        </w:rPr>
        <w:fldChar w:fldCharType="separate"/>
      </w:r>
      <w:r w:rsidR="00F2052F" w:rsidRPr="00F2052F">
        <w:rPr>
          <w:rFonts w:ascii="Times New Roman" w:eastAsia="Calibri" w:hAnsi="Times New Roman" w:cs="Times New Roman"/>
          <w:noProof/>
          <w:sz w:val="24"/>
          <w:szCs w:val="24"/>
        </w:rPr>
        <w:t>(24)</w:t>
      </w:r>
      <w:r w:rsidR="00642363" w:rsidRPr="003B0C9B">
        <w:rPr>
          <w:rFonts w:ascii="Times New Roman" w:eastAsia="Calibri" w:hAnsi="Times New Roman" w:cs="Times New Roman"/>
          <w:sz w:val="24"/>
          <w:szCs w:val="24"/>
        </w:rPr>
        <w:fldChar w:fldCharType="end"/>
      </w:r>
      <w:r w:rsidR="00404F7C" w:rsidRPr="003B0C9B">
        <w:rPr>
          <w:rFonts w:ascii="Times New Roman" w:eastAsia="Calibri" w:hAnsi="Times New Roman" w:cs="Times New Roman"/>
          <w:sz w:val="24"/>
          <w:szCs w:val="24"/>
        </w:rPr>
        <w:t>.</w:t>
      </w:r>
      <w:r w:rsidR="00773AE4" w:rsidRPr="003B0C9B">
        <w:rPr>
          <w:rFonts w:ascii="Times New Roman" w:eastAsia="Calibri" w:hAnsi="Times New Roman" w:cs="Times New Roman"/>
          <w:sz w:val="24"/>
          <w:szCs w:val="24"/>
        </w:rPr>
        <w:t xml:space="preserve"> Por otra parte,</w:t>
      </w:r>
      <w:r w:rsidRPr="003B0C9B">
        <w:rPr>
          <w:rFonts w:ascii="Times New Roman" w:eastAsia="Calibri" w:hAnsi="Times New Roman" w:cs="Times New Roman"/>
          <w:sz w:val="24"/>
          <w:szCs w:val="24"/>
        </w:rPr>
        <w:t xml:space="preserve">en población brasileña  el alelo C desempeña un </w:t>
      </w:r>
      <w:r w:rsidR="00404E44" w:rsidRPr="003B0C9B">
        <w:rPr>
          <w:rFonts w:ascii="Times New Roman" w:eastAsia="Calibri" w:hAnsi="Times New Roman" w:cs="Times New Roman"/>
          <w:sz w:val="24"/>
          <w:szCs w:val="24"/>
        </w:rPr>
        <w:t>papel protector</w:t>
      </w:r>
      <w:r w:rsidRPr="003B0C9B">
        <w:rPr>
          <w:rFonts w:ascii="Times New Roman" w:eastAsia="Calibri" w:hAnsi="Times New Roman" w:cs="Times New Roman"/>
          <w:sz w:val="24"/>
          <w:szCs w:val="24"/>
        </w:rPr>
        <w:t xml:space="preserve"> para periodontitis crónica, y el genotipo GG contribuye a la susceptibilidad de la enfermedad</w:t>
      </w:r>
      <w:r w:rsidR="00642363" w:rsidRPr="003B0C9B">
        <w:rPr>
          <w:rFonts w:ascii="Times New Roman" w:eastAsia="Calibri" w:hAnsi="Times New Roman" w:cs="Times New Roman"/>
          <w:sz w:val="24"/>
          <w:szCs w:val="24"/>
        </w:rPr>
        <w:t xml:space="preserve"> </w:t>
      </w:r>
      <w:r w:rsidR="00642363" w:rsidRPr="003B0C9B">
        <w:rPr>
          <w:rFonts w:ascii="Times New Roman" w:eastAsia="Calibri" w:hAnsi="Times New Roman" w:cs="Times New Roman"/>
          <w:sz w:val="24"/>
          <w:szCs w:val="24"/>
        </w:rPr>
        <w:fldChar w:fldCharType="begin" w:fldLock="1"/>
      </w:r>
      <w:r w:rsidR="00F2052F">
        <w:rPr>
          <w:rFonts w:ascii="Times New Roman" w:eastAsia="Calibri" w:hAnsi="Times New Roman" w:cs="Times New Roman"/>
          <w:sz w:val="24"/>
          <w:szCs w:val="24"/>
        </w:rPr>
        <w:instrText>ADDIN CSL_CITATION {"citationItems":[{"id":"ITEM-1","itemData":{"DOI":"10.1155/2014/490308","ISSN":"2090-2182","abstract":"Aim . Periodontitis is an inflammatory disease that affects the teeth supporting structures, triggered by periodontal pathogens, and is influenced by environmental and genetic factors. Genes encoding molecules related to the immune response, such as cytokine, are the main candidates for polymorphisms analysis and may be possibly associated with this pathology. A G/C promoter polymorphism on the IL6 gene has been shown to affect basal IL-6 levels. The aim of this study was to investigate the association between the IL6 c.-174G&gt;C polymorphism and periodontitis in individuals from Vitória da Conquista, Bahia, Brazil. Material and Methods . Three hundred and thirty individuals (134 cases, 196 controls) were genotyped for the IL6 c.-174G&gt;C by MS-PCR technique. Concentrations of salivary IL-6 were determined by ELISA method. Results . The IL6 c.-174G&gt;C polymorphism was associated with periodontitis when comparing the distribution of genotypes between patients with periodontitis and control subjects. The GC genotype appeared as a protective factor for periodontitis. Results showed increased levels of salivary IL-6 in periodontitis patients. Nevertheless, there was no relationship between the concentrations of IL-6 and genotypes when comparing the case and control groups. Conclusions . Our data indicate an association between IL6 c.-174G&gt;C polymorphism and periodontitis and showed that IL-6 may be considered an important marker for periodontitis.","author":[{"dropping-particle":"","family":"Gabriela Teixeira","given":"Fernanda","non-dropping-particle":"","parse-names":false,"suffix":""},{"dropping-particle":"","family":"Mendonça","given":"Samir Andrade","non-dropping-particle":"","parse-names":false,"suffix":""},{"dropping-particle":"","family":"Menezes Oliveira","given":"Kamilla","non-dropping-particle":"","parse-names":false,"suffix":""},{"dropping-particle":"","family":"Barbosa dos Santos","given":"Djanilson","non-dropping-particle":"","parse-names":false,"suffix":""},{"dropping-particle":"","family":"Miranda Marques","given":"Lucas","non-dropping-particle":"","parse-names":false,"suffix":""},{"dropping-particle":"","family":"Mendonça Amorim","given":"Maise","non-dropping-particle":"","parse-names":false,"suffix":""},{"dropping-particle":"","family":"Souza Gestinari","given":"Raquel","non-dropping-particle":"de","parse-names":false,"suffix":""}],"container-title":"Molecular Biology International","id":"ITEM-1","issued":{"date-parts":[["2014"]]},"page":"1-8","title":"Interleukin-6 c.-174G&gt;C Polymorphism and Periodontitis in a Brazilian Population","type":"article-journal","volume":"2014"},"uris":["http://www.mendeley.com/documents/?uuid=19939a24-5ae3-414f-b06d-be38a6e842a7"]}],"mendeley":{"formattedCitation":"(25)","plainTextFormattedCitation":"(25)","previouslyFormattedCitation":"(24)"},"properties":{"noteIndex":0},"schema":"https://github.com/citation-style-language/schema/raw/master/csl-citation.json"}</w:instrText>
      </w:r>
      <w:r w:rsidR="00642363" w:rsidRPr="003B0C9B">
        <w:rPr>
          <w:rFonts w:ascii="Times New Roman" w:eastAsia="Calibri" w:hAnsi="Times New Roman" w:cs="Times New Roman"/>
          <w:sz w:val="24"/>
          <w:szCs w:val="24"/>
        </w:rPr>
        <w:fldChar w:fldCharType="separate"/>
      </w:r>
      <w:r w:rsidR="00F2052F" w:rsidRPr="00F2052F">
        <w:rPr>
          <w:rFonts w:ascii="Times New Roman" w:eastAsia="Calibri" w:hAnsi="Times New Roman" w:cs="Times New Roman"/>
          <w:noProof/>
          <w:sz w:val="24"/>
          <w:szCs w:val="24"/>
        </w:rPr>
        <w:t>(25)</w:t>
      </w:r>
      <w:r w:rsidR="00642363" w:rsidRPr="003B0C9B">
        <w:rPr>
          <w:rFonts w:ascii="Times New Roman" w:eastAsia="Calibri" w:hAnsi="Times New Roman" w:cs="Times New Roman"/>
          <w:sz w:val="24"/>
          <w:szCs w:val="24"/>
        </w:rPr>
        <w:fldChar w:fldCharType="end"/>
      </w:r>
      <w:r w:rsidRPr="003B0C9B">
        <w:rPr>
          <w:rFonts w:ascii="Times New Roman" w:eastAsia="Calibri" w:hAnsi="Times New Roman" w:cs="Times New Roman"/>
          <w:sz w:val="24"/>
          <w:szCs w:val="24"/>
        </w:rPr>
        <w:t>.</w:t>
      </w:r>
      <w:r w:rsidR="00773AE4" w:rsidRPr="003B0C9B">
        <w:rPr>
          <w:rFonts w:ascii="Times New Roman" w:eastAsia="Calibri" w:hAnsi="Times New Roman" w:cs="Times New Roman"/>
          <w:sz w:val="24"/>
          <w:szCs w:val="24"/>
        </w:rPr>
        <w:t xml:space="preserve"> </w:t>
      </w:r>
      <w:r w:rsidR="00404E44" w:rsidRPr="003B0C9B">
        <w:rPr>
          <w:rFonts w:ascii="Times New Roman" w:eastAsia="Calibri" w:hAnsi="Times New Roman" w:cs="Times New Roman"/>
          <w:sz w:val="24"/>
          <w:szCs w:val="24"/>
        </w:rPr>
        <w:t>E</w:t>
      </w:r>
      <w:r w:rsidR="00773AE4" w:rsidRPr="003B0C9B">
        <w:rPr>
          <w:rFonts w:ascii="Times New Roman" w:eastAsia="Calibri" w:hAnsi="Times New Roman" w:cs="Times New Roman"/>
          <w:sz w:val="24"/>
          <w:szCs w:val="24"/>
        </w:rPr>
        <w:t xml:space="preserve">l grado de la enfermedad puede ser una variable que podría estudiarse posteriormente, ya que en el presente estudio solamente se </w:t>
      </w:r>
      <w:r w:rsidR="00404E44" w:rsidRPr="003B0C9B">
        <w:rPr>
          <w:rFonts w:ascii="Times New Roman" w:eastAsia="Calibri" w:hAnsi="Times New Roman" w:cs="Times New Roman"/>
          <w:sz w:val="24"/>
          <w:szCs w:val="24"/>
        </w:rPr>
        <w:t xml:space="preserve">analizaron </w:t>
      </w:r>
      <w:r w:rsidR="00773AE4" w:rsidRPr="003B0C9B">
        <w:rPr>
          <w:rFonts w:ascii="Times New Roman" w:eastAsia="Calibri" w:hAnsi="Times New Roman" w:cs="Times New Roman"/>
          <w:sz w:val="24"/>
          <w:szCs w:val="24"/>
        </w:rPr>
        <w:t>sujetos</w:t>
      </w:r>
      <w:r w:rsidR="00773AE4">
        <w:rPr>
          <w:rFonts w:ascii="Times New Roman" w:eastAsia="Calibri" w:hAnsi="Times New Roman" w:cs="Times New Roman"/>
          <w:sz w:val="24"/>
          <w:szCs w:val="24"/>
        </w:rPr>
        <w:t xml:space="preserve"> con periodontitis Estadio II Grado B.</w:t>
      </w:r>
    </w:p>
    <w:p w14:paraId="216D1043" w14:textId="2D535FE7" w:rsidR="00404E44" w:rsidRDefault="000D652D" w:rsidP="00B7396F">
      <w:pPr>
        <w:tabs>
          <w:tab w:val="left" w:pos="1155"/>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Todo lo anterior, sugiere que las asociaciones </w:t>
      </w:r>
      <w:r w:rsidR="00E70A24">
        <w:rPr>
          <w:rFonts w:ascii="Times New Roman" w:eastAsia="Calibri" w:hAnsi="Times New Roman" w:cs="Times New Roman"/>
          <w:sz w:val="24"/>
          <w:szCs w:val="24"/>
        </w:rPr>
        <w:t>con</w:t>
      </w:r>
      <w:r>
        <w:rPr>
          <w:rFonts w:ascii="Times New Roman" w:eastAsia="Calibri" w:hAnsi="Times New Roman" w:cs="Times New Roman"/>
          <w:sz w:val="24"/>
          <w:szCs w:val="24"/>
        </w:rPr>
        <w:t xml:space="preserve"> el polimorfismo </w:t>
      </w:r>
      <w:r w:rsidR="00404E44" w:rsidRPr="00404E44">
        <w:rPr>
          <w:rFonts w:ascii="Times New Roman" w:eastAsia="Calibri" w:hAnsi="Times New Roman" w:cs="Times New Roman"/>
          <w:sz w:val="24"/>
          <w:szCs w:val="24"/>
        </w:rPr>
        <w:t xml:space="preserve">g.-174 G/C </w:t>
      </w:r>
      <w:r>
        <w:rPr>
          <w:rFonts w:ascii="Times New Roman" w:eastAsia="Calibri" w:hAnsi="Times New Roman" w:cs="Times New Roman"/>
          <w:sz w:val="24"/>
          <w:szCs w:val="24"/>
        </w:rPr>
        <w:t>varía</w:t>
      </w:r>
      <w:r w:rsidR="00E70A24">
        <w:rPr>
          <w:rFonts w:ascii="Times New Roman" w:eastAsia="Calibri" w:hAnsi="Times New Roman" w:cs="Times New Roman"/>
          <w:sz w:val="24"/>
          <w:szCs w:val="24"/>
        </w:rPr>
        <w:t>n</w:t>
      </w:r>
      <w:r>
        <w:rPr>
          <w:rFonts w:ascii="Times New Roman" w:eastAsia="Calibri" w:hAnsi="Times New Roman" w:cs="Times New Roman"/>
          <w:sz w:val="24"/>
          <w:szCs w:val="24"/>
        </w:rPr>
        <w:t xml:space="preserve"> entre poblaciones</w:t>
      </w:r>
      <w:r w:rsidR="00773AE4">
        <w:rPr>
          <w:rFonts w:ascii="Times New Roman" w:eastAsia="Calibri" w:hAnsi="Times New Roman" w:cs="Times New Roman"/>
          <w:sz w:val="24"/>
          <w:szCs w:val="24"/>
        </w:rPr>
        <w:t xml:space="preserve"> debido a su origen</w:t>
      </w:r>
      <w:r>
        <w:rPr>
          <w:rFonts w:ascii="Times New Roman" w:eastAsia="Calibri" w:hAnsi="Times New Roman" w:cs="Times New Roman"/>
          <w:sz w:val="24"/>
          <w:szCs w:val="24"/>
        </w:rPr>
        <w:t xml:space="preserve">. En poblaciones con origen europeo </w:t>
      </w:r>
      <w:r w:rsidR="00773AE4">
        <w:rPr>
          <w:rFonts w:ascii="Times New Roman" w:eastAsia="Calibri" w:hAnsi="Times New Roman" w:cs="Times New Roman"/>
          <w:sz w:val="24"/>
          <w:szCs w:val="24"/>
        </w:rPr>
        <w:t xml:space="preserve">se </w:t>
      </w:r>
      <w:r>
        <w:rPr>
          <w:rFonts w:ascii="Times New Roman" w:eastAsia="Calibri" w:hAnsi="Times New Roman" w:cs="Times New Roman"/>
          <w:sz w:val="24"/>
          <w:szCs w:val="24"/>
        </w:rPr>
        <w:t xml:space="preserve">suele presentar asociación con la </w:t>
      </w:r>
      <w:r w:rsidR="00C1337D">
        <w:rPr>
          <w:rFonts w:ascii="Times New Roman" w:eastAsia="Calibri" w:hAnsi="Times New Roman" w:cs="Times New Roman"/>
          <w:sz w:val="24"/>
          <w:szCs w:val="24"/>
        </w:rPr>
        <w:t>periodontitis,</w:t>
      </w:r>
      <w:r w:rsidR="00773AE4">
        <w:rPr>
          <w:rFonts w:ascii="Times New Roman" w:eastAsia="Calibri" w:hAnsi="Times New Roman" w:cs="Times New Roman"/>
          <w:sz w:val="24"/>
          <w:szCs w:val="24"/>
        </w:rPr>
        <w:t xml:space="preserve"> pero puede variar dependiendo de la severidad de la enfermedad</w:t>
      </w:r>
      <w:r>
        <w:rPr>
          <w:rFonts w:ascii="Times New Roman" w:eastAsia="Calibri" w:hAnsi="Times New Roman" w:cs="Times New Roman"/>
          <w:sz w:val="24"/>
          <w:szCs w:val="24"/>
        </w:rPr>
        <w:t>. En las poblaciones nativo-americanas se observa una tendencia a la asociación del alelo de riesgo</w:t>
      </w:r>
      <w:r w:rsidR="00404E44">
        <w:rPr>
          <w:rFonts w:ascii="Times New Roman" w:eastAsia="Calibri" w:hAnsi="Times New Roman" w:cs="Times New Roman"/>
          <w:sz w:val="24"/>
          <w:szCs w:val="24"/>
        </w:rPr>
        <w:t xml:space="preserve"> C</w:t>
      </w:r>
      <w:r>
        <w:rPr>
          <w:rFonts w:ascii="Times New Roman" w:eastAsia="Calibri" w:hAnsi="Times New Roman" w:cs="Times New Roman"/>
          <w:sz w:val="24"/>
          <w:szCs w:val="24"/>
        </w:rPr>
        <w:t xml:space="preserve"> </w:t>
      </w:r>
      <w:r w:rsidR="00773AE4">
        <w:rPr>
          <w:rFonts w:ascii="Times New Roman" w:eastAsia="Calibri" w:hAnsi="Times New Roman" w:cs="Times New Roman"/>
          <w:sz w:val="24"/>
          <w:szCs w:val="24"/>
        </w:rPr>
        <w:t>con</w:t>
      </w:r>
      <w:r>
        <w:rPr>
          <w:rFonts w:ascii="Times New Roman" w:eastAsia="Calibri" w:hAnsi="Times New Roman" w:cs="Times New Roman"/>
          <w:sz w:val="24"/>
          <w:szCs w:val="24"/>
        </w:rPr>
        <w:t xml:space="preserve"> la presencia de diabetes y alteraciones metabólicas de la glucosa</w:t>
      </w:r>
      <w:r w:rsidR="00404E44">
        <w:rPr>
          <w:rFonts w:ascii="Times New Roman" w:eastAsia="Calibri" w:hAnsi="Times New Roman" w:cs="Times New Roman"/>
          <w:sz w:val="24"/>
          <w:szCs w:val="24"/>
        </w:rPr>
        <w:t>.</w:t>
      </w:r>
      <w:r w:rsidR="00773AE4">
        <w:rPr>
          <w:rFonts w:ascii="Times New Roman" w:eastAsia="Calibri" w:hAnsi="Times New Roman" w:cs="Times New Roman"/>
          <w:sz w:val="24"/>
          <w:szCs w:val="24"/>
        </w:rPr>
        <w:t xml:space="preserve"> </w:t>
      </w:r>
    </w:p>
    <w:p w14:paraId="43C74BDE" w14:textId="693EBA35" w:rsidR="00F31442" w:rsidRPr="00F705AB" w:rsidRDefault="00773AE4" w:rsidP="00B7396F">
      <w:pPr>
        <w:tabs>
          <w:tab w:val="left" w:pos="1155"/>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En el presente estudio no</w:t>
      </w:r>
      <w:r w:rsidR="000D652D">
        <w:rPr>
          <w:rFonts w:ascii="Times New Roman" w:eastAsia="Calibri" w:hAnsi="Times New Roman" w:cs="Times New Roman"/>
          <w:sz w:val="24"/>
          <w:szCs w:val="24"/>
        </w:rPr>
        <w:t xml:space="preserve"> se observó </w:t>
      </w:r>
      <w:r>
        <w:rPr>
          <w:rFonts w:ascii="Times New Roman" w:eastAsia="Calibri" w:hAnsi="Times New Roman" w:cs="Times New Roman"/>
          <w:sz w:val="24"/>
          <w:szCs w:val="24"/>
        </w:rPr>
        <w:t>asociación a la enfermedad,</w:t>
      </w:r>
      <w:r w:rsidR="000D652D">
        <w:rPr>
          <w:rFonts w:ascii="Times New Roman" w:eastAsia="Calibri" w:hAnsi="Times New Roman" w:cs="Times New Roman"/>
          <w:sz w:val="24"/>
          <w:szCs w:val="24"/>
        </w:rPr>
        <w:t xml:space="preserve"> </w:t>
      </w:r>
      <w:r>
        <w:rPr>
          <w:rFonts w:ascii="Times New Roman" w:eastAsia="Calibri" w:hAnsi="Times New Roman" w:cs="Times New Roman"/>
          <w:sz w:val="24"/>
          <w:szCs w:val="24"/>
        </w:rPr>
        <w:t>p</w:t>
      </w:r>
      <w:r w:rsidR="000D652D">
        <w:rPr>
          <w:rFonts w:ascii="Times New Roman" w:eastAsia="Calibri" w:hAnsi="Times New Roman" w:cs="Times New Roman"/>
          <w:sz w:val="24"/>
          <w:szCs w:val="24"/>
        </w:rPr>
        <w:t xml:space="preserve">robablemente debido a la baja frecuencia que se obtuvo </w:t>
      </w:r>
      <w:r>
        <w:rPr>
          <w:rFonts w:ascii="Times New Roman" w:eastAsia="Calibri" w:hAnsi="Times New Roman" w:cs="Times New Roman"/>
          <w:sz w:val="24"/>
          <w:szCs w:val="24"/>
        </w:rPr>
        <w:t>de</w:t>
      </w:r>
      <w:r w:rsidR="000D652D">
        <w:rPr>
          <w:rFonts w:ascii="Times New Roman" w:eastAsia="Calibri" w:hAnsi="Times New Roman" w:cs="Times New Roman"/>
          <w:sz w:val="24"/>
          <w:szCs w:val="24"/>
        </w:rPr>
        <w:t>l alelo de riesgo</w:t>
      </w:r>
      <w:r>
        <w:rPr>
          <w:rFonts w:ascii="Times New Roman" w:eastAsia="Calibri" w:hAnsi="Times New Roman" w:cs="Times New Roman"/>
          <w:sz w:val="24"/>
          <w:szCs w:val="24"/>
        </w:rPr>
        <w:t xml:space="preserve"> en la población y al tamaño de muestra </w:t>
      </w:r>
      <w:r w:rsidRPr="00F705AB">
        <w:rPr>
          <w:rFonts w:ascii="Times New Roman" w:eastAsia="Calibri" w:hAnsi="Times New Roman" w:cs="Times New Roman"/>
          <w:sz w:val="24"/>
          <w:szCs w:val="24"/>
        </w:rPr>
        <w:t>(n=52)</w:t>
      </w:r>
      <w:r>
        <w:rPr>
          <w:rFonts w:ascii="Times New Roman" w:eastAsia="Calibri" w:hAnsi="Times New Roman" w:cs="Times New Roman"/>
          <w:sz w:val="24"/>
          <w:szCs w:val="24"/>
        </w:rPr>
        <w:t>.</w:t>
      </w:r>
      <w:r w:rsidR="00404E44">
        <w:rPr>
          <w:rFonts w:ascii="Times New Roman" w:eastAsia="Calibri" w:hAnsi="Times New Roman" w:cs="Times New Roman"/>
          <w:sz w:val="24"/>
          <w:szCs w:val="24"/>
        </w:rPr>
        <w:t xml:space="preserve"> L</w:t>
      </w:r>
      <w:r w:rsidR="00F31442" w:rsidRPr="00F705AB">
        <w:rPr>
          <w:rFonts w:ascii="Times New Roman" w:eastAsia="Calibri" w:hAnsi="Times New Roman" w:cs="Times New Roman"/>
          <w:sz w:val="24"/>
          <w:szCs w:val="24"/>
        </w:rPr>
        <w:t>a presencia de</w:t>
      </w:r>
      <w:r>
        <w:rPr>
          <w:rFonts w:ascii="Times New Roman" w:eastAsia="Calibri" w:hAnsi="Times New Roman" w:cs="Times New Roman"/>
          <w:sz w:val="24"/>
          <w:szCs w:val="24"/>
        </w:rPr>
        <w:t>l</w:t>
      </w:r>
      <w:r w:rsidR="00F31442" w:rsidRPr="00F705AB">
        <w:rPr>
          <w:rFonts w:ascii="Times New Roman" w:eastAsia="Calibri" w:hAnsi="Times New Roman" w:cs="Times New Roman"/>
          <w:sz w:val="24"/>
          <w:szCs w:val="24"/>
        </w:rPr>
        <w:t xml:space="preserve"> polimorfismo </w:t>
      </w:r>
      <w:r>
        <w:rPr>
          <w:rFonts w:ascii="Times New Roman" w:eastAsia="Calibri" w:hAnsi="Times New Roman" w:cs="Times New Roman"/>
          <w:sz w:val="24"/>
          <w:szCs w:val="24"/>
        </w:rPr>
        <w:t>g.</w:t>
      </w:r>
      <w:r w:rsidRPr="00773AE4">
        <w:rPr>
          <w:rFonts w:ascii="Times New Roman" w:eastAsia="Calibri" w:hAnsi="Times New Roman" w:cs="Times New Roman"/>
          <w:sz w:val="24"/>
          <w:szCs w:val="24"/>
        </w:rPr>
        <w:t xml:space="preserve"> </w:t>
      </w:r>
      <w:r w:rsidRPr="00F705AB">
        <w:rPr>
          <w:rFonts w:ascii="Times New Roman" w:eastAsia="Calibri" w:hAnsi="Times New Roman" w:cs="Times New Roman"/>
          <w:sz w:val="24"/>
          <w:szCs w:val="24"/>
        </w:rPr>
        <w:t xml:space="preserve">-174 G/C </w:t>
      </w:r>
      <w:r w:rsidR="00F31442" w:rsidRPr="00F705AB">
        <w:rPr>
          <w:rFonts w:ascii="Times New Roman" w:eastAsia="Calibri" w:hAnsi="Times New Roman" w:cs="Times New Roman"/>
          <w:sz w:val="24"/>
          <w:szCs w:val="24"/>
        </w:rPr>
        <w:t xml:space="preserve">no supone un factor de riesgo para la </w:t>
      </w:r>
      <w:r w:rsidR="00F31442" w:rsidRPr="003B0C9B">
        <w:rPr>
          <w:rFonts w:ascii="Times New Roman" w:eastAsia="Calibri" w:hAnsi="Times New Roman" w:cs="Times New Roman"/>
          <w:sz w:val="24"/>
          <w:szCs w:val="24"/>
        </w:rPr>
        <w:t xml:space="preserve">aparición de la enfermedad periodontal crónica en </w:t>
      </w:r>
      <w:r w:rsidRPr="003B0C9B">
        <w:rPr>
          <w:rFonts w:ascii="Times New Roman" w:eastAsia="Calibri" w:hAnsi="Times New Roman" w:cs="Times New Roman"/>
          <w:sz w:val="24"/>
          <w:szCs w:val="24"/>
        </w:rPr>
        <w:t>la</w:t>
      </w:r>
      <w:r w:rsidR="00F31442" w:rsidRPr="003B0C9B">
        <w:rPr>
          <w:rFonts w:ascii="Times New Roman" w:eastAsia="Calibri" w:hAnsi="Times New Roman" w:cs="Times New Roman"/>
          <w:sz w:val="24"/>
          <w:szCs w:val="24"/>
        </w:rPr>
        <w:t xml:space="preserve"> población</w:t>
      </w:r>
      <w:r w:rsidRPr="003B0C9B">
        <w:rPr>
          <w:rFonts w:ascii="Times New Roman" w:eastAsia="Calibri" w:hAnsi="Times New Roman" w:cs="Times New Roman"/>
          <w:sz w:val="24"/>
          <w:szCs w:val="24"/>
        </w:rPr>
        <w:t xml:space="preserve"> </w:t>
      </w:r>
      <w:r w:rsidR="00404E44" w:rsidRPr="003B0C9B">
        <w:rPr>
          <w:rFonts w:ascii="Times New Roman" w:eastAsia="Calibri" w:hAnsi="Times New Roman" w:cs="Times New Roman"/>
          <w:sz w:val="24"/>
          <w:szCs w:val="24"/>
        </w:rPr>
        <w:t>yucateca</w:t>
      </w:r>
      <w:r w:rsidR="00F31442" w:rsidRPr="003B0C9B">
        <w:rPr>
          <w:rFonts w:ascii="Times New Roman" w:eastAsia="Calibri" w:hAnsi="Times New Roman" w:cs="Times New Roman"/>
          <w:sz w:val="24"/>
          <w:szCs w:val="24"/>
        </w:rPr>
        <w:t xml:space="preserve">. </w:t>
      </w:r>
      <w:r w:rsidR="00404E44" w:rsidRPr="003B0C9B">
        <w:rPr>
          <w:rFonts w:ascii="Times New Roman" w:eastAsia="Calibri" w:hAnsi="Times New Roman" w:cs="Times New Roman"/>
          <w:sz w:val="24"/>
          <w:szCs w:val="24"/>
        </w:rPr>
        <w:t>Estos resultados con</w:t>
      </w:r>
      <w:r w:rsidR="00506B67" w:rsidRPr="003B0C9B">
        <w:rPr>
          <w:rFonts w:ascii="Times New Roman" w:eastAsia="Calibri" w:hAnsi="Times New Roman" w:cs="Times New Roman"/>
          <w:sz w:val="24"/>
          <w:szCs w:val="24"/>
        </w:rPr>
        <w:t>trastan</w:t>
      </w:r>
      <w:r w:rsidR="00404E44" w:rsidRPr="003B0C9B">
        <w:rPr>
          <w:rFonts w:ascii="Times New Roman" w:eastAsia="Calibri" w:hAnsi="Times New Roman" w:cs="Times New Roman"/>
          <w:sz w:val="24"/>
          <w:szCs w:val="24"/>
        </w:rPr>
        <w:t xml:space="preserve"> con lo reportado por </w:t>
      </w:r>
      <w:r w:rsidR="00F31442" w:rsidRPr="003B0C9B">
        <w:rPr>
          <w:rFonts w:ascii="Times New Roman" w:eastAsia="Calibri" w:hAnsi="Times New Roman" w:cs="Times New Roman"/>
          <w:sz w:val="24"/>
          <w:szCs w:val="24"/>
        </w:rPr>
        <w:t xml:space="preserve">Walker </w:t>
      </w:r>
      <w:r w:rsidR="00F31442" w:rsidRPr="003B0C9B">
        <w:rPr>
          <w:rFonts w:ascii="Times New Roman" w:eastAsia="Calibri" w:hAnsi="Times New Roman" w:cs="Times New Roman"/>
          <w:i/>
          <w:iCs/>
          <w:sz w:val="24"/>
          <w:szCs w:val="24"/>
        </w:rPr>
        <w:t>et al</w:t>
      </w:r>
      <w:r w:rsidR="004F4DB1" w:rsidRPr="003B0C9B">
        <w:rPr>
          <w:rFonts w:ascii="Times New Roman" w:eastAsia="Calibri" w:hAnsi="Times New Roman" w:cs="Times New Roman"/>
          <w:sz w:val="24"/>
          <w:szCs w:val="24"/>
        </w:rPr>
        <w:t>.</w:t>
      </w:r>
      <w:r w:rsidR="00F31442" w:rsidRPr="003B0C9B">
        <w:rPr>
          <w:rFonts w:ascii="Times New Roman" w:eastAsia="Calibri" w:hAnsi="Times New Roman" w:cs="Times New Roman"/>
          <w:sz w:val="24"/>
          <w:szCs w:val="24"/>
        </w:rPr>
        <w:t xml:space="preserve"> </w:t>
      </w:r>
      <w:r w:rsidR="00404E44" w:rsidRPr="003B0C9B">
        <w:rPr>
          <w:rFonts w:ascii="Times New Roman" w:eastAsia="Calibri" w:hAnsi="Times New Roman" w:cs="Times New Roman"/>
          <w:sz w:val="24"/>
          <w:szCs w:val="24"/>
        </w:rPr>
        <w:t xml:space="preserve">quienes </w:t>
      </w:r>
      <w:r w:rsidR="00506B67" w:rsidRPr="003B0C9B">
        <w:rPr>
          <w:rFonts w:ascii="Times New Roman" w:eastAsia="Calibri" w:hAnsi="Times New Roman" w:cs="Times New Roman"/>
          <w:sz w:val="24"/>
          <w:szCs w:val="24"/>
        </w:rPr>
        <w:t xml:space="preserve">observan </w:t>
      </w:r>
      <w:r w:rsidR="004F4DB1" w:rsidRPr="003B0C9B">
        <w:rPr>
          <w:rFonts w:ascii="Times New Roman" w:eastAsia="Calibri" w:hAnsi="Times New Roman" w:cs="Times New Roman"/>
          <w:sz w:val="24"/>
          <w:szCs w:val="24"/>
        </w:rPr>
        <w:t>asociación</w:t>
      </w:r>
      <w:r w:rsidR="00F31442" w:rsidRPr="003B0C9B">
        <w:rPr>
          <w:rFonts w:ascii="Times New Roman" w:eastAsia="Calibri" w:hAnsi="Times New Roman" w:cs="Times New Roman"/>
          <w:sz w:val="24"/>
          <w:szCs w:val="24"/>
        </w:rPr>
        <w:t xml:space="preserve"> </w:t>
      </w:r>
      <w:r w:rsidR="00506B67" w:rsidRPr="003B0C9B">
        <w:rPr>
          <w:rFonts w:ascii="Times New Roman" w:eastAsia="Calibri" w:hAnsi="Times New Roman" w:cs="Times New Roman"/>
          <w:sz w:val="24"/>
          <w:szCs w:val="24"/>
        </w:rPr>
        <w:t xml:space="preserve">del polimorfismo con la periodontitis agresiva </w:t>
      </w:r>
      <w:r w:rsidR="00F31442" w:rsidRPr="003B0C9B">
        <w:rPr>
          <w:rFonts w:ascii="Times New Roman" w:eastAsia="Calibri" w:hAnsi="Times New Roman" w:cs="Times New Roman"/>
          <w:sz w:val="24"/>
          <w:szCs w:val="24"/>
        </w:rPr>
        <w:t>en población afro-americana de la zona oeste de Carolina del Norte</w:t>
      </w:r>
      <w:r w:rsidR="00E70A24" w:rsidRPr="003B0C9B">
        <w:rPr>
          <w:rFonts w:ascii="Times New Roman" w:eastAsia="Calibri" w:hAnsi="Times New Roman" w:cs="Times New Roman"/>
          <w:sz w:val="24"/>
          <w:szCs w:val="24"/>
        </w:rPr>
        <w:t xml:space="preserve"> </w:t>
      </w:r>
      <w:r w:rsidR="00E70A24" w:rsidRPr="003B0C9B">
        <w:rPr>
          <w:rFonts w:ascii="Times New Roman" w:eastAsia="Calibri" w:hAnsi="Times New Roman" w:cs="Times New Roman"/>
          <w:sz w:val="24"/>
          <w:szCs w:val="24"/>
        </w:rPr>
        <w:fldChar w:fldCharType="begin" w:fldLock="1"/>
      </w:r>
      <w:r w:rsidR="00F2052F">
        <w:rPr>
          <w:rFonts w:ascii="Times New Roman" w:eastAsia="Calibri" w:hAnsi="Times New Roman" w:cs="Times New Roman"/>
          <w:sz w:val="24"/>
          <w:szCs w:val="24"/>
        </w:rPr>
        <w:instrText>ADDIN CSL_CITATION {"citationItems":[{"id":"ITEM-1","itemData":{"DOI":"10.1902/jop.2000.71.5.723","ISSN":"0022-3492","author":[{"dropping-particle":"","family":"Walker","given":"Stephen J.","non-dropping-particle":"","parse-names":false,"suffix":""},{"dropping-particle":"","family":"Dyke","given":"Thomas E.","non-dropping-particle":"Van","parse-names":false,"suffix":""},{"dropping-particle":"","family":"Rich","given":"Stephen","non-dropping-particle":"","parse-names":false,"suffix":""},{"dropping-particle":"","family":"Kornman","given":"Kenneth S.","non-dropping-particle":"","parse-names":false,"suffix":""},{"dropping-particle":"","family":"Giovine","given":"F.S.","non-dropping-particle":"di","parse-names":false,"suffix":""},{"dropping-particle":"","family":"Hart","given":"Thomas C.","non-dropping-particle":"","parse-names":false,"suffix":""}],"container-title":"Journal of Periodontology","id":"ITEM-1","issue":"5","issued":{"date-parts":[["2000","5"]]},"page":"723-728","title":"Genetic Polymorphisms of the IL-1α and IL-1β Genes in African-American LJP Patients and an African-American Control Population","type":"article-journal","volume":"71"},"uris":["http://www.mendeley.com/documents/?uuid=5287629e-038c-4855-8f9e-9b170de9ead8"]}],"mendeley":{"formattedCitation":"(26)","plainTextFormattedCitation":"(26)","previouslyFormattedCitation":"(25)"},"properties":{"noteIndex":0},"schema":"https://github.com/citation-style-language/schema/raw/master/csl-citation.json"}</w:instrText>
      </w:r>
      <w:r w:rsidR="00E70A24" w:rsidRPr="003B0C9B">
        <w:rPr>
          <w:rFonts w:ascii="Times New Roman" w:eastAsia="Calibri" w:hAnsi="Times New Roman" w:cs="Times New Roman"/>
          <w:sz w:val="24"/>
          <w:szCs w:val="24"/>
        </w:rPr>
        <w:fldChar w:fldCharType="separate"/>
      </w:r>
      <w:r w:rsidR="00F2052F" w:rsidRPr="00F2052F">
        <w:rPr>
          <w:rFonts w:ascii="Times New Roman" w:eastAsia="Calibri" w:hAnsi="Times New Roman" w:cs="Times New Roman"/>
          <w:noProof/>
          <w:sz w:val="24"/>
          <w:szCs w:val="24"/>
        </w:rPr>
        <w:t>(26)</w:t>
      </w:r>
      <w:r w:rsidR="00E70A24" w:rsidRPr="003B0C9B">
        <w:rPr>
          <w:rFonts w:ascii="Times New Roman" w:eastAsia="Calibri" w:hAnsi="Times New Roman" w:cs="Times New Roman"/>
          <w:sz w:val="24"/>
          <w:szCs w:val="24"/>
        </w:rPr>
        <w:fldChar w:fldCharType="end"/>
      </w:r>
      <w:r w:rsidR="00F31442" w:rsidRPr="003B0C9B">
        <w:rPr>
          <w:rFonts w:ascii="Times New Roman" w:eastAsia="Calibri" w:hAnsi="Times New Roman" w:cs="Times New Roman"/>
          <w:sz w:val="24"/>
          <w:szCs w:val="24"/>
        </w:rPr>
        <w:t>.</w:t>
      </w:r>
      <w:r w:rsidR="00506B67" w:rsidRPr="003B0C9B">
        <w:rPr>
          <w:rFonts w:ascii="Times New Roman" w:eastAsia="Calibri" w:hAnsi="Times New Roman" w:cs="Times New Roman"/>
          <w:sz w:val="24"/>
          <w:szCs w:val="24"/>
        </w:rPr>
        <w:t xml:space="preserve"> Sin embargo, correlaciona con lo reportado por </w:t>
      </w:r>
      <w:r w:rsidR="00F31442" w:rsidRPr="003B0C9B">
        <w:rPr>
          <w:rFonts w:ascii="Times New Roman" w:eastAsia="Calibri" w:hAnsi="Times New Roman" w:cs="Times New Roman"/>
          <w:sz w:val="24"/>
          <w:szCs w:val="24"/>
        </w:rPr>
        <w:t xml:space="preserve">Pociot </w:t>
      </w:r>
      <w:r w:rsidR="00F31442" w:rsidRPr="003B0C9B">
        <w:rPr>
          <w:rFonts w:ascii="Times New Roman" w:eastAsia="Calibri" w:hAnsi="Times New Roman" w:cs="Times New Roman"/>
          <w:i/>
          <w:iCs/>
          <w:sz w:val="24"/>
          <w:szCs w:val="24"/>
        </w:rPr>
        <w:t>et al</w:t>
      </w:r>
      <w:r w:rsidR="004F4DB1" w:rsidRPr="003B0C9B">
        <w:rPr>
          <w:rFonts w:ascii="Times New Roman" w:eastAsia="Calibri" w:hAnsi="Times New Roman" w:cs="Times New Roman"/>
          <w:i/>
          <w:iCs/>
          <w:sz w:val="24"/>
          <w:szCs w:val="24"/>
        </w:rPr>
        <w:t>.</w:t>
      </w:r>
      <w:r w:rsidR="00F31442" w:rsidRPr="003B0C9B">
        <w:rPr>
          <w:rFonts w:ascii="Times New Roman" w:eastAsia="Calibri" w:hAnsi="Times New Roman" w:cs="Times New Roman"/>
          <w:sz w:val="24"/>
          <w:szCs w:val="24"/>
        </w:rPr>
        <w:t xml:space="preserve"> (1992) </w:t>
      </w:r>
      <w:r w:rsidR="007A7B35" w:rsidRPr="003B0C9B">
        <w:rPr>
          <w:rFonts w:ascii="Times New Roman" w:eastAsia="Calibri" w:hAnsi="Times New Roman" w:cs="Times New Roman"/>
          <w:sz w:val="24"/>
          <w:szCs w:val="24"/>
        </w:rPr>
        <w:t>en población de Dinamarca</w:t>
      </w:r>
      <w:r w:rsidR="00506B67" w:rsidRPr="003B0C9B">
        <w:rPr>
          <w:rFonts w:ascii="Times New Roman" w:eastAsia="Calibri" w:hAnsi="Times New Roman" w:cs="Times New Roman"/>
          <w:sz w:val="24"/>
          <w:szCs w:val="24"/>
        </w:rPr>
        <w:t xml:space="preserve">, donde </w:t>
      </w:r>
      <w:r w:rsidR="00F31442" w:rsidRPr="003B0C9B">
        <w:rPr>
          <w:rFonts w:ascii="Times New Roman" w:eastAsia="Calibri" w:hAnsi="Times New Roman" w:cs="Times New Roman"/>
          <w:sz w:val="24"/>
          <w:szCs w:val="24"/>
        </w:rPr>
        <w:t xml:space="preserve">la severidad de la enfermedad periodontal </w:t>
      </w:r>
      <w:r w:rsidR="00506B67" w:rsidRPr="003B0C9B">
        <w:rPr>
          <w:rFonts w:ascii="Times New Roman" w:eastAsia="Calibri" w:hAnsi="Times New Roman" w:cs="Times New Roman"/>
          <w:sz w:val="24"/>
          <w:szCs w:val="24"/>
        </w:rPr>
        <w:t xml:space="preserve">se presentó en individuos con los genotipos GC y GG. </w:t>
      </w:r>
      <w:r w:rsidR="00E70A24" w:rsidRPr="003B0C9B">
        <w:rPr>
          <w:rFonts w:ascii="Times New Roman" w:eastAsia="Calibri" w:hAnsi="Times New Roman" w:cs="Times New Roman"/>
          <w:sz w:val="24"/>
          <w:szCs w:val="24"/>
        </w:rPr>
        <w:fldChar w:fldCharType="begin" w:fldLock="1"/>
      </w:r>
      <w:r w:rsidR="00F2052F">
        <w:rPr>
          <w:rFonts w:ascii="Times New Roman" w:eastAsia="Calibri" w:hAnsi="Times New Roman" w:cs="Times New Roman"/>
          <w:sz w:val="24"/>
          <w:szCs w:val="24"/>
        </w:rPr>
        <w:instrText>ADDIN CSL_CITATION {"citationItems":[{"id":"ITEM-1","itemData":{"DOI":"10.1111/j.1365-2362.1992.tb01480.x","ISSN":"0014-2972","author":[{"dropping-particle":"","family":"Pociot","given":"F.","non-dropping-particle":"","parse-names":false,"suffix":""},{"dropping-particle":"","family":"Molvig","given":"J.","non-dropping-particle":"","parse-names":false,"suffix":""},{"dropping-particle":"","family":"Wogensen","given":"L.","non-dropping-particle":"","parse-names":false,"suffix":""},{"dropping-particle":"","family":"Worsaae","given":"H.","non-dropping-particle":"","parse-names":false,"suffix":""},{"dropping-particle":"","family":"Nerup","given":"J.","non-dropping-particle":"","parse-names":false,"suffix":""}],"container-title":"European Journal of Clinical Investigation","id":"ITEM-1","issue":"6","issued":{"date-parts":[["1992","6"]]},"page":"396-402","title":"A Taql polymorphism in the human interleukin-1β (IL-1β) gene correlates with IL-1β secretion in vitro","type":"article-journal","volume":"22"},"uris":["http://www.mendeley.com/documents/?uuid=ef748581-9f89-4617-bf63-764447acb5e4"]}],"mendeley":{"formattedCitation":"(27)","plainTextFormattedCitation":"(27)","previouslyFormattedCitation":"(26)"},"properties":{"noteIndex":0},"schema":"https://github.com/citation-style-language/schema/raw/master/csl-citation.json"}</w:instrText>
      </w:r>
      <w:r w:rsidR="00E70A24" w:rsidRPr="003B0C9B">
        <w:rPr>
          <w:rFonts w:ascii="Times New Roman" w:eastAsia="Calibri" w:hAnsi="Times New Roman" w:cs="Times New Roman"/>
          <w:sz w:val="24"/>
          <w:szCs w:val="24"/>
        </w:rPr>
        <w:fldChar w:fldCharType="separate"/>
      </w:r>
      <w:r w:rsidR="00F2052F" w:rsidRPr="00F2052F">
        <w:rPr>
          <w:rFonts w:ascii="Times New Roman" w:eastAsia="Calibri" w:hAnsi="Times New Roman" w:cs="Times New Roman"/>
          <w:noProof/>
          <w:sz w:val="24"/>
          <w:szCs w:val="24"/>
        </w:rPr>
        <w:t>(27)</w:t>
      </w:r>
      <w:r w:rsidR="00E70A24" w:rsidRPr="003B0C9B">
        <w:rPr>
          <w:rFonts w:ascii="Times New Roman" w:eastAsia="Calibri" w:hAnsi="Times New Roman" w:cs="Times New Roman"/>
          <w:sz w:val="24"/>
          <w:szCs w:val="24"/>
        </w:rPr>
        <w:fldChar w:fldCharType="end"/>
      </w:r>
      <w:r w:rsidR="00F31442" w:rsidRPr="003B0C9B">
        <w:rPr>
          <w:rFonts w:ascii="Times New Roman" w:eastAsia="Calibri" w:hAnsi="Times New Roman" w:cs="Times New Roman"/>
          <w:sz w:val="24"/>
          <w:szCs w:val="24"/>
        </w:rPr>
        <w:t>.</w:t>
      </w:r>
    </w:p>
    <w:p w14:paraId="5D2DA19D" w14:textId="77777777" w:rsidR="001E5CE1" w:rsidRDefault="001E5CE1" w:rsidP="00B7396F">
      <w:pPr>
        <w:tabs>
          <w:tab w:val="left" w:pos="1155"/>
        </w:tabs>
        <w:spacing w:line="360" w:lineRule="auto"/>
        <w:jc w:val="both"/>
        <w:rPr>
          <w:rFonts w:ascii="Times New Roman" w:eastAsia="Calibri" w:hAnsi="Times New Roman" w:cs="Times New Roman"/>
          <w:b/>
          <w:sz w:val="24"/>
          <w:szCs w:val="24"/>
        </w:rPr>
      </w:pPr>
    </w:p>
    <w:p w14:paraId="579A51EC" w14:textId="77777777" w:rsidR="001E5CE1" w:rsidRDefault="001E5CE1" w:rsidP="00B7396F">
      <w:pPr>
        <w:tabs>
          <w:tab w:val="left" w:pos="1155"/>
        </w:tabs>
        <w:spacing w:line="360" w:lineRule="auto"/>
        <w:jc w:val="both"/>
        <w:rPr>
          <w:rFonts w:ascii="Times New Roman" w:eastAsia="Calibri" w:hAnsi="Times New Roman" w:cs="Times New Roman"/>
          <w:b/>
          <w:sz w:val="24"/>
          <w:szCs w:val="24"/>
        </w:rPr>
      </w:pPr>
    </w:p>
    <w:p w14:paraId="2449BDC5" w14:textId="3A9DED03" w:rsidR="00F31442" w:rsidRPr="003F4C36" w:rsidRDefault="00F31442" w:rsidP="00B7396F">
      <w:pPr>
        <w:tabs>
          <w:tab w:val="left" w:pos="1155"/>
        </w:tabs>
        <w:spacing w:line="360" w:lineRule="auto"/>
        <w:jc w:val="both"/>
        <w:rPr>
          <w:rFonts w:ascii="Times New Roman" w:eastAsia="Calibri" w:hAnsi="Times New Roman" w:cs="Times New Roman"/>
          <w:b/>
          <w:sz w:val="24"/>
          <w:szCs w:val="24"/>
        </w:rPr>
      </w:pPr>
      <w:r w:rsidRPr="003F4C36">
        <w:rPr>
          <w:rFonts w:ascii="Times New Roman" w:eastAsia="Calibri" w:hAnsi="Times New Roman" w:cs="Times New Roman"/>
          <w:b/>
          <w:sz w:val="24"/>
          <w:szCs w:val="24"/>
        </w:rPr>
        <w:lastRenderedPageBreak/>
        <w:t>CONCLUSIÓN</w:t>
      </w:r>
    </w:p>
    <w:p w14:paraId="2ACF0804" w14:textId="3A11C0C2" w:rsidR="003B0C9B" w:rsidRDefault="003B0C9B" w:rsidP="003B0C9B">
      <w:pPr>
        <w:pStyle w:val="Textocomentario"/>
        <w:spacing w:line="360" w:lineRule="auto"/>
        <w:jc w:val="both"/>
        <w:rPr>
          <w:rFonts w:ascii="Times New Roman" w:hAnsi="Times New Roman" w:cs="Times New Roman"/>
          <w:sz w:val="24"/>
          <w:szCs w:val="24"/>
        </w:rPr>
      </w:pPr>
      <w:r w:rsidRPr="003B0C9B">
        <w:rPr>
          <w:rFonts w:ascii="Times New Roman" w:hAnsi="Times New Roman" w:cs="Times New Roman"/>
          <w:sz w:val="24"/>
          <w:szCs w:val="24"/>
        </w:rPr>
        <w:t xml:space="preserve">Los datos sugieren que la baja frecuencia del alelo de riesgo C y nula del genotipo CC en los casos de la población yucateca, el polimorfismo g.-174 G/C del gen </w:t>
      </w:r>
      <w:r w:rsidRPr="003B0C9B">
        <w:rPr>
          <w:rFonts w:ascii="Times New Roman" w:hAnsi="Times New Roman" w:cs="Times New Roman"/>
          <w:i/>
          <w:iCs/>
          <w:sz w:val="24"/>
          <w:szCs w:val="24"/>
        </w:rPr>
        <w:t xml:space="preserve">IL-6 </w:t>
      </w:r>
      <w:r w:rsidRPr="003B0C9B">
        <w:rPr>
          <w:rFonts w:ascii="Times New Roman" w:hAnsi="Times New Roman" w:cs="Times New Roman"/>
          <w:sz w:val="24"/>
          <w:szCs w:val="24"/>
        </w:rPr>
        <w:t>no es factor de riesgo para desarrollar periodontitis</w:t>
      </w:r>
      <w:r w:rsidR="003A5612">
        <w:rPr>
          <w:rFonts w:ascii="Times New Roman" w:hAnsi="Times New Roman" w:cs="Times New Roman"/>
          <w:sz w:val="24"/>
          <w:szCs w:val="24"/>
        </w:rPr>
        <w:t>.</w:t>
      </w:r>
    </w:p>
    <w:p w14:paraId="2686ABB2" w14:textId="6665831C" w:rsidR="0095210B" w:rsidRDefault="0095210B" w:rsidP="001E5CE1">
      <w:pPr>
        <w:spacing w:after="0" w:line="240" w:lineRule="auto"/>
        <w:rPr>
          <w:rFonts w:ascii="Times New Roman" w:eastAsia="Calibri" w:hAnsi="Times New Roman" w:cs="Times New Roman"/>
          <w:b/>
          <w:bCs/>
          <w:sz w:val="24"/>
          <w:szCs w:val="24"/>
        </w:rPr>
      </w:pPr>
      <w:r w:rsidRPr="0095210B">
        <w:rPr>
          <w:rFonts w:ascii="Times New Roman" w:eastAsia="Calibri" w:hAnsi="Times New Roman" w:cs="Times New Roman"/>
          <w:b/>
          <w:bCs/>
          <w:sz w:val="24"/>
          <w:szCs w:val="24"/>
        </w:rPr>
        <w:t>AGRADECIMIENTOS</w:t>
      </w:r>
    </w:p>
    <w:p w14:paraId="5F63A87B" w14:textId="77777777" w:rsidR="001E5CE1" w:rsidRPr="001E5CE1" w:rsidRDefault="001E5CE1" w:rsidP="001E5CE1">
      <w:pPr>
        <w:spacing w:after="0" w:line="240" w:lineRule="auto"/>
        <w:rPr>
          <w:rFonts w:ascii="Times New Roman" w:hAnsi="Times New Roman" w:cs="Times New Roman"/>
          <w:sz w:val="24"/>
          <w:szCs w:val="24"/>
        </w:rPr>
      </w:pPr>
    </w:p>
    <w:p w14:paraId="710E5FB2" w14:textId="16D61742" w:rsidR="00461997" w:rsidRDefault="00C15C26" w:rsidP="00B7396F">
      <w:pPr>
        <w:tabs>
          <w:tab w:val="left" w:pos="1155"/>
        </w:tabs>
        <w:spacing w:line="360" w:lineRule="auto"/>
        <w:jc w:val="both"/>
        <w:rPr>
          <w:rFonts w:ascii="Times New Roman" w:hAnsi="Times New Roman" w:cs="Times New Roman"/>
          <w:color w:val="000000"/>
          <w:sz w:val="24"/>
          <w:szCs w:val="24"/>
          <w:lang w:val="es-ES"/>
        </w:rPr>
      </w:pPr>
      <w:r w:rsidRPr="00A14533">
        <w:rPr>
          <w:rFonts w:ascii="Times New Roman" w:eastAsia="Calibri" w:hAnsi="Times New Roman" w:cs="Times New Roman"/>
          <w:sz w:val="24"/>
          <w:szCs w:val="24"/>
        </w:rPr>
        <w:t>Este trabajó fue realizado gracias al apoyo del Consejo Nacional de Ciencia y Tecnología (</w:t>
      </w:r>
      <w:r w:rsidR="00461997" w:rsidRPr="00A14533">
        <w:rPr>
          <w:rFonts w:ascii="Times New Roman" w:eastAsia="Calibri" w:hAnsi="Times New Roman" w:cs="Times New Roman"/>
          <w:sz w:val="24"/>
          <w:szCs w:val="24"/>
        </w:rPr>
        <w:t>CONAC</w:t>
      </w:r>
      <w:r w:rsidRPr="00A14533">
        <w:rPr>
          <w:rFonts w:ascii="Times New Roman" w:eastAsia="Calibri" w:hAnsi="Times New Roman" w:cs="Times New Roman"/>
          <w:sz w:val="24"/>
          <w:szCs w:val="24"/>
        </w:rPr>
        <w:t>Y</w:t>
      </w:r>
      <w:r w:rsidR="00461997" w:rsidRPr="00A14533">
        <w:rPr>
          <w:rFonts w:ascii="Times New Roman" w:eastAsia="Calibri" w:hAnsi="Times New Roman" w:cs="Times New Roman"/>
          <w:sz w:val="24"/>
          <w:szCs w:val="24"/>
        </w:rPr>
        <w:t>T</w:t>
      </w:r>
      <w:r w:rsidRPr="00A14533">
        <w:rPr>
          <w:rFonts w:ascii="Times New Roman" w:eastAsia="Calibri" w:hAnsi="Times New Roman" w:cs="Times New Roman"/>
          <w:sz w:val="24"/>
          <w:szCs w:val="24"/>
        </w:rPr>
        <w:t xml:space="preserve">) con número de convenio: </w:t>
      </w:r>
      <w:r w:rsidR="00461997" w:rsidRPr="004A2C20">
        <w:rPr>
          <w:rFonts w:ascii="Times New Roman" w:eastAsia="Calibri" w:hAnsi="Times New Roman" w:cs="Times New Roman"/>
          <w:sz w:val="24"/>
          <w:szCs w:val="24"/>
        </w:rPr>
        <w:t>PROYECTO-2010-02-151325</w:t>
      </w:r>
      <w:r w:rsidR="004A2C20" w:rsidRPr="004A2C20">
        <w:rPr>
          <w:rFonts w:ascii="Times New Roman" w:eastAsia="Calibri" w:hAnsi="Times New Roman" w:cs="Times New Roman"/>
          <w:sz w:val="24"/>
          <w:szCs w:val="24"/>
        </w:rPr>
        <w:t xml:space="preserve"> y al </w:t>
      </w:r>
      <w:r w:rsidR="004A2C20" w:rsidRPr="00DB15D0">
        <w:rPr>
          <w:rFonts w:ascii="Times New Roman" w:hAnsi="Times New Roman" w:cs="Times New Roman"/>
          <w:color w:val="000000"/>
          <w:sz w:val="24"/>
          <w:szCs w:val="24"/>
          <w:lang w:val="es-ES"/>
        </w:rPr>
        <w:t>PRODEP con n</w:t>
      </w:r>
      <w:r w:rsidR="003A5612">
        <w:rPr>
          <w:rFonts w:ascii="Times New Roman" w:hAnsi="Times New Roman" w:cs="Times New Roman"/>
          <w:color w:val="000000"/>
          <w:sz w:val="24"/>
          <w:szCs w:val="24"/>
          <w:lang w:val="es-ES"/>
        </w:rPr>
        <w:t>ú</w:t>
      </w:r>
      <w:r w:rsidR="004A2C20" w:rsidRPr="00DB15D0">
        <w:rPr>
          <w:rFonts w:ascii="Times New Roman" w:hAnsi="Times New Roman" w:cs="Times New Roman"/>
          <w:color w:val="000000"/>
          <w:sz w:val="24"/>
          <w:szCs w:val="24"/>
          <w:lang w:val="es-ES"/>
        </w:rPr>
        <w:t>mero de convenio UADY-EXB-214</w:t>
      </w:r>
      <w:r w:rsidR="003A5612">
        <w:rPr>
          <w:rFonts w:ascii="Times New Roman" w:hAnsi="Times New Roman" w:cs="Times New Roman"/>
          <w:color w:val="000000"/>
          <w:sz w:val="24"/>
          <w:szCs w:val="24"/>
          <w:lang w:val="es-ES"/>
        </w:rPr>
        <w:t>.</w:t>
      </w:r>
    </w:p>
    <w:p w14:paraId="1812161F" w14:textId="543E19DC" w:rsidR="00F31442" w:rsidRDefault="00F31442" w:rsidP="00F31442">
      <w:pPr>
        <w:tabs>
          <w:tab w:val="left" w:pos="1155"/>
        </w:tabs>
        <w:spacing w:line="360" w:lineRule="auto"/>
        <w:jc w:val="both"/>
        <w:rPr>
          <w:rFonts w:ascii="Times New Roman" w:hAnsi="Times New Roman" w:cs="Times New Roman"/>
          <w:b/>
          <w:sz w:val="24"/>
          <w:szCs w:val="24"/>
        </w:rPr>
      </w:pPr>
      <w:r w:rsidRPr="001E272B">
        <w:rPr>
          <w:rFonts w:ascii="Times New Roman" w:hAnsi="Times New Roman" w:cs="Times New Roman"/>
          <w:b/>
          <w:sz w:val="24"/>
          <w:szCs w:val="24"/>
        </w:rPr>
        <w:t>REFERENCIAS B</w:t>
      </w:r>
      <w:r>
        <w:rPr>
          <w:rFonts w:ascii="Times New Roman" w:hAnsi="Times New Roman" w:cs="Times New Roman"/>
          <w:b/>
          <w:sz w:val="24"/>
          <w:szCs w:val="24"/>
        </w:rPr>
        <w:t>IBLIOGRÁ</w:t>
      </w:r>
      <w:r w:rsidRPr="001E272B">
        <w:rPr>
          <w:rFonts w:ascii="Times New Roman" w:hAnsi="Times New Roman" w:cs="Times New Roman"/>
          <w:b/>
          <w:sz w:val="24"/>
          <w:szCs w:val="24"/>
        </w:rPr>
        <w:t>FICAS</w:t>
      </w:r>
    </w:p>
    <w:p w14:paraId="5223EF8F" w14:textId="1CF14320" w:rsidR="00F2052F" w:rsidRPr="00F2052F" w:rsidRDefault="00E47F85"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Pr>
          <w:rFonts w:ascii="Times New Roman" w:hAnsi="Times New Roman" w:cs="Times New Roman"/>
          <w:sz w:val="24"/>
          <w:szCs w:val="24"/>
          <w:lang w:val="en-US"/>
        </w:rPr>
        <w:fldChar w:fldCharType="begin" w:fldLock="1"/>
      </w:r>
      <w:r w:rsidRPr="00DB15D0">
        <w:rPr>
          <w:rFonts w:ascii="Times New Roman" w:hAnsi="Times New Roman" w:cs="Times New Roman"/>
          <w:sz w:val="24"/>
          <w:szCs w:val="24"/>
          <w:lang w:val="es-ES"/>
        </w:rPr>
        <w:instrText xml:space="preserve">ADDIN Mendeley Bibliography CSL_BIBLIOGRAPHY </w:instrText>
      </w:r>
      <w:r>
        <w:rPr>
          <w:rFonts w:ascii="Times New Roman" w:hAnsi="Times New Roman" w:cs="Times New Roman"/>
          <w:sz w:val="24"/>
          <w:szCs w:val="24"/>
          <w:lang w:val="en-US"/>
        </w:rPr>
        <w:fldChar w:fldCharType="separate"/>
      </w:r>
      <w:r w:rsidR="00F2052F" w:rsidRPr="00F2052F">
        <w:rPr>
          <w:rFonts w:ascii="Times New Roman" w:hAnsi="Times New Roman" w:cs="Times New Roman"/>
          <w:noProof/>
          <w:sz w:val="24"/>
          <w:szCs w:val="24"/>
        </w:rPr>
        <w:t xml:space="preserve">1. </w:t>
      </w:r>
      <w:r w:rsidR="00F2052F" w:rsidRPr="00F2052F">
        <w:rPr>
          <w:rFonts w:ascii="Times New Roman" w:hAnsi="Times New Roman" w:cs="Times New Roman"/>
          <w:noProof/>
          <w:sz w:val="24"/>
          <w:szCs w:val="24"/>
        </w:rPr>
        <w:tab/>
        <w:t xml:space="preserve">Peña S, Calzado M, González M, Cordero S, Azahares H. Patógenos periodontales y sus relaciones con enfermedades sistémicas. MediSan. 2012;16(7):1137–48. </w:t>
      </w:r>
    </w:p>
    <w:p w14:paraId="47AA29C6"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2. </w:t>
      </w:r>
      <w:r w:rsidRPr="00F2052F">
        <w:rPr>
          <w:rFonts w:ascii="Times New Roman" w:hAnsi="Times New Roman" w:cs="Times New Roman"/>
          <w:noProof/>
          <w:sz w:val="24"/>
          <w:szCs w:val="24"/>
        </w:rPr>
        <w:tab/>
        <w:t xml:space="preserve">Carranza F, Newman M, Takei H, Klokkevold P. Periodontología Clínica. 10a ed. México: McGraw-Hill Interamericana; 2017. 1552 p. </w:t>
      </w:r>
    </w:p>
    <w:p w14:paraId="66116F30"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3. </w:t>
      </w:r>
      <w:r w:rsidRPr="00F2052F">
        <w:rPr>
          <w:rFonts w:ascii="Times New Roman" w:hAnsi="Times New Roman" w:cs="Times New Roman"/>
          <w:noProof/>
          <w:sz w:val="24"/>
          <w:szCs w:val="24"/>
        </w:rPr>
        <w:tab/>
        <w:t>Research S and therapy committee. Position Paper: Diagnosis of Periodontal Diseases. J Periodontol [Internet]. agosto de 2003;74(8):1237–47. Disponible en: http://doi.wiley.com/10.1902/jop.2003.74.8.1237</w:t>
      </w:r>
    </w:p>
    <w:p w14:paraId="45E3719C"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4. </w:t>
      </w:r>
      <w:r w:rsidRPr="00F2052F">
        <w:rPr>
          <w:rFonts w:ascii="Times New Roman" w:hAnsi="Times New Roman" w:cs="Times New Roman"/>
          <w:noProof/>
          <w:sz w:val="24"/>
          <w:szCs w:val="24"/>
        </w:rPr>
        <w:tab/>
        <w:t>Nieminen A, Asikainen S, Torkko H, Kari K, Uitto V-J, Saxen L. Value of some laboratory and clinical measurements in the treatment plan for advanced periodontitis. J Clin Periodontol [Internet]. junio de 1996;23(6):572–81. Disponible en: http://doi.wiley.com/10.1111/j.1600-051X.1996.tb01827.x</w:t>
      </w:r>
    </w:p>
    <w:p w14:paraId="418A3A19"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5. </w:t>
      </w:r>
      <w:r w:rsidRPr="00F2052F">
        <w:rPr>
          <w:rFonts w:ascii="Times New Roman" w:hAnsi="Times New Roman" w:cs="Times New Roman"/>
          <w:noProof/>
          <w:sz w:val="24"/>
          <w:szCs w:val="24"/>
        </w:rPr>
        <w:tab/>
        <w:t>Nieminen A, Sirén E, Wolf J, Asikainen S. Prognostic criteria for the efficiency of non-surgical periodontal therapy in advanced periodontitis. J Clin Periodontol [Internet]. el 13 de diciembre de 2005;22(2):153–61. Disponible en: http://doi.wiley.com/10.1111/j.1600-051X.1995.tb00127.x</w:t>
      </w:r>
    </w:p>
    <w:p w14:paraId="6EE3B569"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6. </w:t>
      </w:r>
      <w:r w:rsidRPr="00F2052F">
        <w:rPr>
          <w:rFonts w:ascii="Times New Roman" w:hAnsi="Times New Roman" w:cs="Times New Roman"/>
          <w:noProof/>
          <w:sz w:val="24"/>
          <w:szCs w:val="24"/>
        </w:rPr>
        <w:tab/>
        <w:t>Kornman KS, di Giovine FS. Genetic Variations in Cytokine Expression: A Risk Factor for Severity of Adult Periodontitis. Ann Periodontol [Internet]. julio de 1998;3(1):327–38. Disponible en: http://doi.wiley.com/10.1902/annals.1998.3.1.327</w:t>
      </w:r>
    </w:p>
    <w:p w14:paraId="30B35F4D"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lastRenderedPageBreak/>
        <w:t xml:space="preserve">7. </w:t>
      </w:r>
      <w:r w:rsidRPr="00F2052F">
        <w:rPr>
          <w:rFonts w:ascii="Times New Roman" w:hAnsi="Times New Roman" w:cs="Times New Roman"/>
          <w:noProof/>
          <w:sz w:val="24"/>
          <w:szCs w:val="24"/>
        </w:rPr>
        <w:tab/>
        <w:t>Papapanou PN, Sanz M, Buduneli N, Dietrich T, Feres M, Fine DH, et al. Periodontitis: Consensus report of workgroup 2 of the 2017 World Workshop on the Classification of Periodontal and Peri-Implant Diseases and Conditions. J Periodontol [Internet]. junio de 2018;89:S173–82. Disponible en: http://doi.wiley.com/10.1002/JPER.17-0721</w:t>
      </w:r>
    </w:p>
    <w:p w14:paraId="6C5BE503"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8. </w:t>
      </w:r>
      <w:r w:rsidRPr="00F2052F">
        <w:rPr>
          <w:rFonts w:ascii="Times New Roman" w:hAnsi="Times New Roman" w:cs="Times New Roman"/>
          <w:noProof/>
          <w:sz w:val="24"/>
          <w:szCs w:val="24"/>
        </w:rPr>
        <w:tab/>
        <w:t>Nagarajan R, Miller CS, Dawson D, Al-Sabbagh M, Ebersole JL. Cross-talk between clinical and host-response parameters of periodontitis in smokers. J Periodontal Res [Internet]. junio de 2017;52(3):342–52. Disponible en: http://doi.wiley.com/10.1111/jre.12397</w:t>
      </w:r>
    </w:p>
    <w:p w14:paraId="1C6D8E57"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9. </w:t>
      </w:r>
      <w:r w:rsidRPr="00F2052F">
        <w:rPr>
          <w:rFonts w:ascii="Times New Roman" w:hAnsi="Times New Roman" w:cs="Times New Roman"/>
          <w:noProof/>
          <w:sz w:val="24"/>
          <w:szCs w:val="24"/>
        </w:rPr>
        <w:tab/>
        <w:t>National Library of Medicine. dbSNP [Internet]. https://www.ncbi.nlm.nih.gov/snp/rs1800795. 2020 [citado el 11 de septiembre de 2020]. Disponible en: https://www.ncbi.nlm.nih.gov/snp/rs1800795</w:t>
      </w:r>
    </w:p>
    <w:p w14:paraId="31FA68F6"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10. </w:t>
      </w:r>
      <w:r w:rsidRPr="00F2052F">
        <w:rPr>
          <w:rFonts w:ascii="Times New Roman" w:hAnsi="Times New Roman" w:cs="Times New Roman"/>
          <w:noProof/>
          <w:sz w:val="24"/>
          <w:szCs w:val="24"/>
        </w:rPr>
        <w:tab/>
        <w:t>Hirano T, Akira S, Taga T, Kishimoto T. Biological and clinical aspects of interleukin 6. Immunol Today [Internet]. enero de 1990;11:443–9. Disponible en: https://linkinghub.elsevier.com/retrieve/pii/0167569990901737</w:t>
      </w:r>
    </w:p>
    <w:p w14:paraId="6E997889"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11. </w:t>
      </w:r>
      <w:r w:rsidRPr="00F2052F">
        <w:rPr>
          <w:rFonts w:ascii="Times New Roman" w:hAnsi="Times New Roman" w:cs="Times New Roman"/>
          <w:noProof/>
          <w:sz w:val="24"/>
          <w:szCs w:val="24"/>
        </w:rPr>
        <w:tab/>
        <w:t>Bertazzolo N, Punzi L, Stefani MP, Cesaro G, Pianon M, Finco B, et al. Interrelationships between interleukin (IL)-1, IL-6 and IL-8 in synovial fluid of various arthropathies. Agents Actions [Internet]. marzo de 1994;41(1–2):90–2. Disponible en: http://link.springer.com/10.1007/BF01986402</w:t>
      </w:r>
    </w:p>
    <w:p w14:paraId="10B21170"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12. </w:t>
      </w:r>
      <w:r w:rsidRPr="00F2052F">
        <w:rPr>
          <w:rFonts w:ascii="Times New Roman" w:hAnsi="Times New Roman" w:cs="Times New Roman"/>
          <w:noProof/>
          <w:sz w:val="24"/>
          <w:szCs w:val="24"/>
        </w:rPr>
        <w:tab/>
        <w:t>Dongari-Bagtzoglou AI, Ebersole JL. Increased Presence of Interleukin-6 (IL-6) and IL-8 Secreting Fibroblast Subpopulations in Adult Periodontitis. J Periodontol [Internet]. agosto de 1998;69(8):899–910. Disponible en: http://doi.wiley.com/10.1902/jop.1998.69.8.899</w:t>
      </w:r>
    </w:p>
    <w:p w14:paraId="1A53BE4C"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13. </w:t>
      </w:r>
      <w:r w:rsidRPr="00F2052F">
        <w:rPr>
          <w:rFonts w:ascii="Times New Roman" w:hAnsi="Times New Roman" w:cs="Times New Roman"/>
          <w:noProof/>
          <w:sz w:val="24"/>
          <w:szCs w:val="24"/>
        </w:rPr>
        <w:tab/>
        <w:t>Giannopoulou C, Kamma JJ, Mombelli A. Effect of inflammation, smoking and stress on gingival crevicular fluid cytokine level. J Clin Periodontol [Internet]. febrero de 2003;30(2):145–53. Disponible en: http://doi.wiley.com/10.1902/jop.1998.69.8.899</w:t>
      </w:r>
    </w:p>
    <w:p w14:paraId="19B81D76"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14. </w:t>
      </w:r>
      <w:r w:rsidRPr="00F2052F">
        <w:rPr>
          <w:rFonts w:ascii="Times New Roman" w:hAnsi="Times New Roman" w:cs="Times New Roman"/>
          <w:noProof/>
          <w:sz w:val="24"/>
          <w:szCs w:val="24"/>
        </w:rPr>
        <w:tab/>
        <w:t xml:space="preserve">Kern PA, Ranganathan S, Li C, Wood L, Ranganathan G. Adipose tissue tumor necrosis factor and interleukin-6 expression in human obesity and insulin resistance. Am J Physiol Metab [Internet]. el 1 de mayo de 2001;280(5):E745–51. Disponible en: </w:t>
      </w:r>
      <w:r w:rsidRPr="00F2052F">
        <w:rPr>
          <w:rFonts w:ascii="Times New Roman" w:hAnsi="Times New Roman" w:cs="Times New Roman"/>
          <w:noProof/>
          <w:sz w:val="24"/>
          <w:szCs w:val="24"/>
        </w:rPr>
        <w:lastRenderedPageBreak/>
        <w:t>https://www.physiology.org/doi/10.1152/ajpendo.2001.280.5.E745</w:t>
      </w:r>
    </w:p>
    <w:p w14:paraId="474F0604"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15. </w:t>
      </w:r>
      <w:r w:rsidRPr="00F2052F">
        <w:rPr>
          <w:rFonts w:ascii="Times New Roman" w:hAnsi="Times New Roman" w:cs="Times New Roman"/>
          <w:noProof/>
          <w:sz w:val="24"/>
          <w:szCs w:val="24"/>
        </w:rPr>
        <w:tab/>
        <w:t>Vignal A, Milan D, SanCristobal M, Eggen A. A review on SNP and other types of molecular markers and their use in animal genetics. Genet Sel Evol [Internet]. el 15 de junio de 2002;34(3):275. Disponible en: https://gsejournal.biomedcentral.com/articles/10.1186/1297-9686-34-3-275</w:t>
      </w:r>
    </w:p>
    <w:p w14:paraId="3DA6B29A"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16. </w:t>
      </w:r>
      <w:r w:rsidRPr="00F2052F">
        <w:rPr>
          <w:rFonts w:ascii="Times New Roman" w:hAnsi="Times New Roman" w:cs="Times New Roman"/>
          <w:noProof/>
          <w:sz w:val="24"/>
          <w:szCs w:val="24"/>
        </w:rPr>
        <w:tab/>
        <w:t xml:space="preserve">Martínez V, Carrillo B, García G, Vera L, Escobar D, Pozos A, et al. Asociación de los polimorfismos CCR5 G59029A y RANTES –28 C/G en pacientes con periodontitis crónica y/o diabetes mellitus tipo 2 en una población del sureste mexicano. Invest Clin. 2018;59(2):135. </w:t>
      </w:r>
    </w:p>
    <w:p w14:paraId="3F1E8E0B"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17. </w:t>
      </w:r>
      <w:r w:rsidRPr="00F2052F">
        <w:rPr>
          <w:rFonts w:ascii="Times New Roman" w:hAnsi="Times New Roman" w:cs="Times New Roman"/>
          <w:noProof/>
          <w:sz w:val="24"/>
          <w:szCs w:val="24"/>
        </w:rPr>
        <w:tab/>
        <w:t xml:space="preserve">Saxena M, Agrawal C, Srivastava N, M. B. Interleukin-6 (IL-6)-597 A/G (rs1800797) &amp; -174 G/C (rs1800795) gene polymorphisms in type 2 diabetes. Indian J Med Res. 2014;140(1):60–8. </w:t>
      </w:r>
    </w:p>
    <w:p w14:paraId="123C1C82"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18. </w:t>
      </w:r>
      <w:r w:rsidRPr="00F2052F">
        <w:rPr>
          <w:rFonts w:ascii="Times New Roman" w:hAnsi="Times New Roman" w:cs="Times New Roman"/>
          <w:noProof/>
          <w:sz w:val="24"/>
          <w:szCs w:val="24"/>
        </w:rPr>
        <w:tab/>
        <w:t>Kubaszek A, Pihlajamaki J, Komarovski V, Lindi V, Lindstrom J, Eriksson J, et al. Promoter Polymorphisms of the TNF- (G-308A) and IL-6 (C-174G) Genes Predict the Conversion From Impaired Glucose Tolerance to Type 2 Diabetes: The Finnish Diabetes Prevention Study. Diabetes [Internet]. el 1 de julio de 2003;52(7):1872–6. Disponible en: http://diabetes.diabetesjournals.org/cgi/doi/10.2337/diabetes.52.7.1872</w:t>
      </w:r>
    </w:p>
    <w:p w14:paraId="271E58E8"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19. </w:t>
      </w:r>
      <w:r w:rsidRPr="00F2052F">
        <w:rPr>
          <w:rFonts w:ascii="Times New Roman" w:hAnsi="Times New Roman" w:cs="Times New Roman"/>
          <w:noProof/>
          <w:sz w:val="24"/>
          <w:szCs w:val="24"/>
        </w:rPr>
        <w:tab/>
        <w:t>Bouhaha R, Baroudi T, Ennafaa H, Vaillant E, Abid H, Sassi R, et al. Study of TNFα -308G/A and IL6 -174G/C polymorphisms in type 2 diabetes and obesity risk in the Tunisian population. Clin Biochem [Internet]. abril de 2010;43(6):549–52. Disponible en: https://linkinghub.elsevier.com/retrieve/pii/S0009912010000330</w:t>
      </w:r>
    </w:p>
    <w:p w14:paraId="5245802A"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20. </w:t>
      </w:r>
      <w:r w:rsidRPr="00F2052F">
        <w:rPr>
          <w:rFonts w:ascii="Times New Roman" w:hAnsi="Times New Roman" w:cs="Times New Roman"/>
          <w:noProof/>
          <w:sz w:val="24"/>
          <w:szCs w:val="24"/>
        </w:rPr>
        <w:tab/>
        <w:t>Papaoikonomou S, Tentolouris N, Tousoulis D, Papadodiannis D, Miliou A, Papageorgiou N, et al. The association of the 174G&amp;gt;C polymorphism of interleukin 6 gene with diabetic nephropathy in patients with type 2 diabetes mellitus. J Diabetes Complications [Internet]. noviembre de 2013;27(6):576–9. Disponible en: https://linkinghub.elsevier.com/retrieve/pii/S1056872713001475</w:t>
      </w:r>
    </w:p>
    <w:p w14:paraId="4F52BAD3"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21. </w:t>
      </w:r>
      <w:r w:rsidRPr="00F2052F">
        <w:rPr>
          <w:rFonts w:ascii="Times New Roman" w:hAnsi="Times New Roman" w:cs="Times New Roman"/>
          <w:noProof/>
          <w:sz w:val="24"/>
          <w:szCs w:val="24"/>
        </w:rPr>
        <w:tab/>
        <w:t xml:space="preserve">Song GG, Choi SJ, Ji JD, Lee YH. Association between tumor necrosis factor-α promoter −308 A/G, −238 A/G, interleukin-6 −174 G/C and −572 G/C polymorphisms </w:t>
      </w:r>
      <w:r w:rsidRPr="00F2052F">
        <w:rPr>
          <w:rFonts w:ascii="Times New Roman" w:hAnsi="Times New Roman" w:cs="Times New Roman"/>
          <w:noProof/>
          <w:sz w:val="24"/>
          <w:szCs w:val="24"/>
        </w:rPr>
        <w:lastRenderedPageBreak/>
        <w:t>and periodontal disease: a meta-analysis. Mol Biol Rep [Internet]. el 9 de agosto de 2013;40(8):5191–203. Disponible en: http://link.springer.com/10.1007/s11033-013-2621-4</w:t>
      </w:r>
    </w:p>
    <w:p w14:paraId="33D61C40"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22. </w:t>
      </w:r>
      <w:r w:rsidRPr="00F2052F">
        <w:rPr>
          <w:rFonts w:ascii="Times New Roman" w:hAnsi="Times New Roman" w:cs="Times New Roman"/>
          <w:noProof/>
          <w:sz w:val="24"/>
          <w:szCs w:val="24"/>
        </w:rPr>
        <w:tab/>
        <w:t xml:space="preserve">Nibali L, Madden I, F. F, Chillida L, Heitz-Mayfield L, Brett P, et al. IL6 -174 genotype associated with Aggregatibacter actinomycetemcomitans in Indians. Oral Dis. 2011;17(2):232–7. </w:t>
      </w:r>
    </w:p>
    <w:p w14:paraId="380696CC"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23. </w:t>
      </w:r>
      <w:r w:rsidRPr="00F2052F">
        <w:rPr>
          <w:rFonts w:ascii="Times New Roman" w:hAnsi="Times New Roman" w:cs="Times New Roman"/>
          <w:noProof/>
          <w:sz w:val="24"/>
          <w:szCs w:val="24"/>
        </w:rPr>
        <w:tab/>
        <w:t>Raunio T, Nixdorf M, Knuuttila M, Karttunen R, Vainio O, Tervonen T. The extent of periodontal disease and the IL-6 −174 genotype as determinants of serum IL-6 level. J Clin Periodontol [Internet]. diciembre de 2007;34(12):1025–30. Disponible en: http://doi.wiley.com/10.1111/j.1600-051X.2007.01151.x</w:t>
      </w:r>
    </w:p>
    <w:p w14:paraId="6FD3D7E3"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24. </w:t>
      </w:r>
      <w:r w:rsidRPr="00F2052F">
        <w:rPr>
          <w:rFonts w:ascii="Times New Roman" w:hAnsi="Times New Roman" w:cs="Times New Roman"/>
          <w:noProof/>
          <w:sz w:val="24"/>
          <w:szCs w:val="24"/>
        </w:rPr>
        <w:tab/>
        <w:t>Shao M, Huang P, Cheng R, Hu T. Interleukin-6 polymorphisms modify the risk of periodontitis:a systematic review and meta-analysis. J Zhejiang Univ Sci B [Internet]. el 4 de diciembre de 2009;10(12):920–7. Disponible en: http://link.springer.com/10.1631/jzus.B0920279</w:t>
      </w:r>
    </w:p>
    <w:p w14:paraId="2D0E201E"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25. </w:t>
      </w:r>
      <w:r w:rsidRPr="00F2052F">
        <w:rPr>
          <w:rFonts w:ascii="Times New Roman" w:hAnsi="Times New Roman" w:cs="Times New Roman"/>
          <w:noProof/>
          <w:sz w:val="24"/>
          <w:szCs w:val="24"/>
        </w:rPr>
        <w:tab/>
        <w:t>Gabriela Teixeira F, Mendonça SA, Menezes Oliveira K, Barbosa dos Santos D, Miranda Marques L, Mendonça Amorim M, et al. Interleukin-6 c.-174G&gt;C Polymorphism and Periodontitis in a Brazilian Population. Mol Biol Int [Internet]. 2014;2014:1–8. Disponible en: https://www.hindawi.com/archive/2014/490308/</w:t>
      </w:r>
    </w:p>
    <w:p w14:paraId="11F2F418"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F2052F">
        <w:rPr>
          <w:rFonts w:ascii="Times New Roman" w:hAnsi="Times New Roman" w:cs="Times New Roman"/>
          <w:noProof/>
          <w:sz w:val="24"/>
          <w:szCs w:val="24"/>
        </w:rPr>
        <w:t xml:space="preserve">26. </w:t>
      </w:r>
      <w:r w:rsidRPr="00F2052F">
        <w:rPr>
          <w:rFonts w:ascii="Times New Roman" w:hAnsi="Times New Roman" w:cs="Times New Roman"/>
          <w:noProof/>
          <w:sz w:val="24"/>
          <w:szCs w:val="24"/>
        </w:rPr>
        <w:tab/>
        <w:t>Walker SJ, Van Dyke TE, Rich S, Kornman KS, di Giovine FS, Hart TC. Genetic Polymorphisms of the IL-1α and IL-1β Genes in African-American LJP Patients and an African-American Control Population. J Periodontol [Internet]. mayo de 2000;71(5):723–8. Disponible en: http://doi.wiley.com/10.1902/jop.2000.71.5.723</w:t>
      </w:r>
    </w:p>
    <w:p w14:paraId="308B045A" w14:textId="77777777" w:rsidR="00F2052F" w:rsidRPr="00F2052F" w:rsidRDefault="00F2052F" w:rsidP="003A5612">
      <w:pPr>
        <w:widowControl w:val="0"/>
        <w:autoSpaceDE w:val="0"/>
        <w:autoSpaceDN w:val="0"/>
        <w:adjustRightInd w:val="0"/>
        <w:spacing w:line="360" w:lineRule="auto"/>
        <w:ind w:left="640" w:hanging="640"/>
        <w:jc w:val="both"/>
        <w:rPr>
          <w:rFonts w:ascii="Times New Roman" w:hAnsi="Times New Roman" w:cs="Times New Roman"/>
          <w:noProof/>
          <w:sz w:val="24"/>
        </w:rPr>
      </w:pPr>
      <w:r w:rsidRPr="00F2052F">
        <w:rPr>
          <w:rFonts w:ascii="Times New Roman" w:hAnsi="Times New Roman" w:cs="Times New Roman"/>
          <w:noProof/>
          <w:sz w:val="24"/>
          <w:szCs w:val="24"/>
        </w:rPr>
        <w:t xml:space="preserve">27. </w:t>
      </w:r>
      <w:r w:rsidRPr="00F2052F">
        <w:rPr>
          <w:rFonts w:ascii="Times New Roman" w:hAnsi="Times New Roman" w:cs="Times New Roman"/>
          <w:noProof/>
          <w:sz w:val="24"/>
          <w:szCs w:val="24"/>
        </w:rPr>
        <w:tab/>
        <w:t>Pociot F, Molvig J, Wogensen L, Worsaae H, Nerup J. A Taql polymorphism in the human interleukin-1β (IL-1β) gene correlates with IL-1β secretion in vitro. Eur J Clin Invest [Internet]. junio de 1992;22(6):396–402. Disponible en: http://doi.wiley.com/10.1111/j.1365-2362.1992.tb01480.x</w:t>
      </w:r>
    </w:p>
    <w:p w14:paraId="68B26A2C" w14:textId="1B564B24" w:rsidR="00E54F2D" w:rsidRPr="00DB15D0" w:rsidRDefault="00E47F85" w:rsidP="00AB61B9">
      <w:pPr>
        <w:tabs>
          <w:tab w:val="left" w:pos="2355"/>
        </w:tabs>
        <w:spacing w:line="360" w:lineRule="auto"/>
        <w:jc w:val="both"/>
        <w:rPr>
          <w:rFonts w:ascii="Times New Roman" w:hAnsi="Times New Roman" w:cs="Times New Roman"/>
          <w:sz w:val="24"/>
          <w:szCs w:val="24"/>
          <w:lang w:val="es-ES"/>
        </w:rPr>
      </w:pPr>
      <w:r>
        <w:rPr>
          <w:rFonts w:ascii="Times New Roman" w:hAnsi="Times New Roman" w:cs="Times New Roman"/>
          <w:sz w:val="24"/>
          <w:szCs w:val="24"/>
          <w:lang w:val="en-US"/>
        </w:rPr>
        <w:fldChar w:fldCharType="end"/>
      </w:r>
    </w:p>
    <w:p w14:paraId="70E40FC5" w14:textId="77777777" w:rsidR="00B7396F" w:rsidRPr="00DB15D0" w:rsidRDefault="00B7396F" w:rsidP="00AB61B9">
      <w:pPr>
        <w:tabs>
          <w:tab w:val="left" w:pos="2355"/>
        </w:tabs>
        <w:spacing w:line="360" w:lineRule="auto"/>
        <w:jc w:val="both"/>
        <w:rPr>
          <w:rFonts w:ascii="Times New Roman" w:hAnsi="Times New Roman" w:cs="Times New Roman"/>
          <w:sz w:val="24"/>
          <w:szCs w:val="24"/>
          <w:lang w:val="es-ES"/>
        </w:rPr>
      </w:pPr>
    </w:p>
    <w:sectPr w:rsidR="00B7396F" w:rsidRPr="00DB15D0" w:rsidSect="00426BA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743256" w14:textId="77777777" w:rsidR="00BC2ADC" w:rsidRDefault="00BC2ADC" w:rsidP="00B56B51">
      <w:pPr>
        <w:spacing w:after="0" w:line="240" w:lineRule="auto"/>
      </w:pPr>
      <w:r>
        <w:separator/>
      </w:r>
    </w:p>
  </w:endnote>
  <w:endnote w:type="continuationSeparator" w:id="0">
    <w:p w14:paraId="1D0F5A9A" w14:textId="77777777" w:rsidR="00BC2ADC" w:rsidRDefault="00BC2ADC" w:rsidP="00B56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035539" w14:textId="77777777" w:rsidR="00BC2ADC" w:rsidRDefault="00BC2ADC" w:rsidP="00B56B51">
      <w:pPr>
        <w:spacing w:after="0" w:line="240" w:lineRule="auto"/>
      </w:pPr>
      <w:r>
        <w:separator/>
      </w:r>
    </w:p>
  </w:footnote>
  <w:footnote w:type="continuationSeparator" w:id="0">
    <w:p w14:paraId="1FA34828" w14:textId="77777777" w:rsidR="00BC2ADC" w:rsidRDefault="00BC2ADC" w:rsidP="00B56B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027B36"/>
    <w:multiLevelType w:val="multilevel"/>
    <w:tmpl w:val="572C8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D90784"/>
    <w:multiLevelType w:val="hybridMultilevel"/>
    <w:tmpl w:val="F746DD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DAE423B"/>
    <w:multiLevelType w:val="hybridMultilevel"/>
    <w:tmpl w:val="14764A5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F2D"/>
    <w:rsid w:val="000103F7"/>
    <w:rsid w:val="0004710B"/>
    <w:rsid w:val="00047FA8"/>
    <w:rsid w:val="00054637"/>
    <w:rsid w:val="00056A55"/>
    <w:rsid w:val="000579FB"/>
    <w:rsid w:val="00062239"/>
    <w:rsid w:val="00065745"/>
    <w:rsid w:val="0006609C"/>
    <w:rsid w:val="00076C7D"/>
    <w:rsid w:val="00082D93"/>
    <w:rsid w:val="00091F9C"/>
    <w:rsid w:val="00094E85"/>
    <w:rsid w:val="000A6A5B"/>
    <w:rsid w:val="000C0975"/>
    <w:rsid w:val="000C0F66"/>
    <w:rsid w:val="000D652D"/>
    <w:rsid w:val="000E1B8E"/>
    <w:rsid w:val="000F4394"/>
    <w:rsid w:val="000F6572"/>
    <w:rsid w:val="000F6E6E"/>
    <w:rsid w:val="00117C44"/>
    <w:rsid w:val="00121592"/>
    <w:rsid w:val="00144A97"/>
    <w:rsid w:val="001543F7"/>
    <w:rsid w:val="001915D9"/>
    <w:rsid w:val="001A60E7"/>
    <w:rsid w:val="001B1931"/>
    <w:rsid w:val="001B7916"/>
    <w:rsid w:val="001C3D19"/>
    <w:rsid w:val="001C57A5"/>
    <w:rsid w:val="001D037A"/>
    <w:rsid w:val="001E5CE1"/>
    <w:rsid w:val="00202DD9"/>
    <w:rsid w:val="00203C35"/>
    <w:rsid w:val="002478F0"/>
    <w:rsid w:val="00262A66"/>
    <w:rsid w:val="002672C7"/>
    <w:rsid w:val="00286B62"/>
    <w:rsid w:val="00290254"/>
    <w:rsid w:val="002957A5"/>
    <w:rsid w:val="00295AA3"/>
    <w:rsid w:val="002A033D"/>
    <w:rsid w:val="002A30A0"/>
    <w:rsid w:val="002A783B"/>
    <w:rsid w:val="002E15EB"/>
    <w:rsid w:val="002E2E7E"/>
    <w:rsid w:val="002F0239"/>
    <w:rsid w:val="002F2B2B"/>
    <w:rsid w:val="00307C42"/>
    <w:rsid w:val="00317BAD"/>
    <w:rsid w:val="0033021A"/>
    <w:rsid w:val="003356E5"/>
    <w:rsid w:val="00342B96"/>
    <w:rsid w:val="003549D5"/>
    <w:rsid w:val="003718C6"/>
    <w:rsid w:val="00384FBF"/>
    <w:rsid w:val="00396E54"/>
    <w:rsid w:val="003A5612"/>
    <w:rsid w:val="003B0C9B"/>
    <w:rsid w:val="003B1587"/>
    <w:rsid w:val="003E3ED3"/>
    <w:rsid w:val="003E5CCA"/>
    <w:rsid w:val="003F4C36"/>
    <w:rsid w:val="00402DBF"/>
    <w:rsid w:val="00404262"/>
    <w:rsid w:val="00404E44"/>
    <w:rsid w:val="00404F7C"/>
    <w:rsid w:val="00405D98"/>
    <w:rsid w:val="00405ED1"/>
    <w:rsid w:val="00426BA2"/>
    <w:rsid w:val="00443761"/>
    <w:rsid w:val="004477E2"/>
    <w:rsid w:val="00461997"/>
    <w:rsid w:val="00473999"/>
    <w:rsid w:val="004759C3"/>
    <w:rsid w:val="004A2C20"/>
    <w:rsid w:val="004B40E6"/>
    <w:rsid w:val="004B4EAA"/>
    <w:rsid w:val="004C47DF"/>
    <w:rsid w:val="004C4DDC"/>
    <w:rsid w:val="004C56F9"/>
    <w:rsid w:val="004F4840"/>
    <w:rsid w:val="004F4DB1"/>
    <w:rsid w:val="00506B67"/>
    <w:rsid w:val="00531F0A"/>
    <w:rsid w:val="00545700"/>
    <w:rsid w:val="005601E9"/>
    <w:rsid w:val="00560525"/>
    <w:rsid w:val="00565995"/>
    <w:rsid w:val="00594991"/>
    <w:rsid w:val="005A37D1"/>
    <w:rsid w:val="005B0CD8"/>
    <w:rsid w:val="005C06D9"/>
    <w:rsid w:val="005D5B2B"/>
    <w:rsid w:val="006025F3"/>
    <w:rsid w:val="00611D45"/>
    <w:rsid w:val="0062553E"/>
    <w:rsid w:val="006354BB"/>
    <w:rsid w:val="006412AC"/>
    <w:rsid w:val="00642363"/>
    <w:rsid w:val="0064479E"/>
    <w:rsid w:val="006503B8"/>
    <w:rsid w:val="006550FC"/>
    <w:rsid w:val="00657BCE"/>
    <w:rsid w:val="0067520E"/>
    <w:rsid w:val="00691606"/>
    <w:rsid w:val="006A2FCE"/>
    <w:rsid w:val="006B4E18"/>
    <w:rsid w:val="006C424B"/>
    <w:rsid w:val="006D0709"/>
    <w:rsid w:val="006D09CF"/>
    <w:rsid w:val="006D12FA"/>
    <w:rsid w:val="006F6F21"/>
    <w:rsid w:val="0070169A"/>
    <w:rsid w:val="007212F4"/>
    <w:rsid w:val="00725727"/>
    <w:rsid w:val="00726EF6"/>
    <w:rsid w:val="00737162"/>
    <w:rsid w:val="00740216"/>
    <w:rsid w:val="00752836"/>
    <w:rsid w:val="0075795A"/>
    <w:rsid w:val="00760E1A"/>
    <w:rsid w:val="00771BDD"/>
    <w:rsid w:val="00773AE4"/>
    <w:rsid w:val="0077698C"/>
    <w:rsid w:val="00781F7A"/>
    <w:rsid w:val="00785892"/>
    <w:rsid w:val="00792E29"/>
    <w:rsid w:val="007A7B35"/>
    <w:rsid w:val="007C08AC"/>
    <w:rsid w:val="007C5483"/>
    <w:rsid w:val="007E3465"/>
    <w:rsid w:val="0080457D"/>
    <w:rsid w:val="00823E61"/>
    <w:rsid w:val="00833A46"/>
    <w:rsid w:val="00841F94"/>
    <w:rsid w:val="00856A4D"/>
    <w:rsid w:val="00856B0B"/>
    <w:rsid w:val="0086571D"/>
    <w:rsid w:val="00885AA6"/>
    <w:rsid w:val="008A2AAB"/>
    <w:rsid w:val="008E00B8"/>
    <w:rsid w:val="008F26AE"/>
    <w:rsid w:val="00916B49"/>
    <w:rsid w:val="00921313"/>
    <w:rsid w:val="00922DCC"/>
    <w:rsid w:val="009300DE"/>
    <w:rsid w:val="0095210B"/>
    <w:rsid w:val="00987AB4"/>
    <w:rsid w:val="009B37D9"/>
    <w:rsid w:val="009F03DE"/>
    <w:rsid w:val="00A06288"/>
    <w:rsid w:val="00A14533"/>
    <w:rsid w:val="00A3025D"/>
    <w:rsid w:val="00A321CA"/>
    <w:rsid w:val="00A403E5"/>
    <w:rsid w:val="00A43ED4"/>
    <w:rsid w:val="00A534BF"/>
    <w:rsid w:val="00A827C1"/>
    <w:rsid w:val="00A93AF1"/>
    <w:rsid w:val="00A96E85"/>
    <w:rsid w:val="00AA5D9B"/>
    <w:rsid w:val="00AB61B9"/>
    <w:rsid w:val="00AC28E1"/>
    <w:rsid w:val="00AD2FD2"/>
    <w:rsid w:val="00AD61C7"/>
    <w:rsid w:val="00AD7B2C"/>
    <w:rsid w:val="00AE500D"/>
    <w:rsid w:val="00AF7CB7"/>
    <w:rsid w:val="00B00194"/>
    <w:rsid w:val="00B12AD3"/>
    <w:rsid w:val="00B32A76"/>
    <w:rsid w:val="00B401F1"/>
    <w:rsid w:val="00B472B5"/>
    <w:rsid w:val="00B55836"/>
    <w:rsid w:val="00B56B51"/>
    <w:rsid w:val="00B7396F"/>
    <w:rsid w:val="00B763AE"/>
    <w:rsid w:val="00BA0F5B"/>
    <w:rsid w:val="00BA425D"/>
    <w:rsid w:val="00BB11E0"/>
    <w:rsid w:val="00BC2ADC"/>
    <w:rsid w:val="00BC40E5"/>
    <w:rsid w:val="00BD05F4"/>
    <w:rsid w:val="00BD5429"/>
    <w:rsid w:val="00BD716A"/>
    <w:rsid w:val="00BE0C73"/>
    <w:rsid w:val="00BE7238"/>
    <w:rsid w:val="00BF7A73"/>
    <w:rsid w:val="00C0122A"/>
    <w:rsid w:val="00C11E05"/>
    <w:rsid w:val="00C1337D"/>
    <w:rsid w:val="00C15C26"/>
    <w:rsid w:val="00C160B0"/>
    <w:rsid w:val="00C21151"/>
    <w:rsid w:val="00C53F88"/>
    <w:rsid w:val="00C637CC"/>
    <w:rsid w:val="00C702C1"/>
    <w:rsid w:val="00CB066E"/>
    <w:rsid w:val="00CB6B11"/>
    <w:rsid w:val="00CC105D"/>
    <w:rsid w:val="00CC2C92"/>
    <w:rsid w:val="00CC4189"/>
    <w:rsid w:val="00CC7D4F"/>
    <w:rsid w:val="00CD098B"/>
    <w:rsid w:val="00D1050A"/>
    <w:rsid w:val="00D257CD"/>
    <w:rsid w:val="00D317E7"/>
    <w:rsid w:val="00D43FCD"/>
    <w:rsid w:val="00D45B7F"/>
    <w:rsid w:val="00D84EDB"/>
    <w:rsid w:val="00D91783"/>
    <w:rsid w:val="00D9603F"/>
    <w:rsid w:val="00DB15D0"/>
    <w:rsid w:val="00DB5593"/>
    <w:rsid w:val="00DC6A7C"/>
    <w:rsid w:val="00DD1D49"/>
    <w:rsid w:val="00DF5238"/>
    <w:rsid w:val="00E26280"/>
    <w:rsid w:val="00E47F85"/>
    <w:rsid w:val="00E54F2D"/>
    <w:rsid w:val="00E67783"/>
    <w:rsid w:val="00E70A24"/>
    <w:rsid w:val="00E7190E"/>
    <w:rsid w:val="00E71B75"/>
    <w:rsid w:val="00EB0268"/>
    <w:rsid w:val="00EB700E"/>
    <w:rsid w:val="00ED172A"/>
    <w:rsid w:val="00EF574E"/>
    <w:rsid w:val="00F1216E"/>
    <w:rsid w:val="00F15B44"/>
    <w:rsid w:val="00F15C07"/>
    <w:rsid w:val="00F2052F"/>
    <w:rsid w:val="00F31442"/>
    <w:rsid w:val="00F44879"/>
    <w:rsid w:val="00F52C41"/>
    <w:rsid w:val="00F558AA"/>
    <w:rsid w:val="00F84252"/>
    <w:rsid w:val="00FA0589"/>
    <w:rsid w:val="00FA1C5E"/>
    <w:rsid w:val="00FA36B9"/>
    <w:rsid w:val="00FC7EC8"/>
    <w:rsid w:val="00FD419E"/>
    <w:rsid w:val="00FF2B4C"/>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E71886"/>
  <w14:defaultImageDpi w14:val="32767"/>
  <w15:chartTrackingRefBased/>
  <w15:docId w15:val="{4428F7EF-5448-B649-8CDE-FFA9640FE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F2D"/>
    <w:pPr>
      <w:spacing w:after="160" w:line="259" w:lineRule="auto"/>
    </w:pPr>
    <w:rPr>
      <w:sz w:val="22"/>
      <w:szCs w:val="22"/>
      <w:lang w:val="es-MX"/>
    </w:rPr>
  </w:style>
  <w:style w:type="paragraph" w:styleId="Ttulo1">
    <w:name w:val="heading 1"/>
    <w:basedOn w:val="Normal"/>
    <w:next w:val="Normal"/>
    <w:link w:val="Ttulo1Car"/>
    <w:uiPriority w:val="9"/>
    <w:qFormat/>
    <w:rsid w:val="00C211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31442"/>
    <w:rPr>
      <w:sz w:val="22"/>
      <w:szCs w:val="22"/>
      <w:lang w:val="es-MX"/>
    </w:rPr>
  </w:style>
  <w:style w:type="table" w:styleId="Tablaconcuadrculaclara">
    <w:name w:val="Grid Table Light"/>
    <w:basedOn w:val="Tablanormal"/>
    <w:uiPriority w:val="40"/>
    <w:rsid w:val="00F314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efdecomentario">
    <w:name w:val="annotation reference"/>
    <w:basedOn w:val="Fuentedeprrafopredeter"/>
    <w:uiPriority w:val="99"/>
    <w:semiHidden/>
    <w:unhideWhenUsed/>
    <w:rsid w:val="00C11E05"/>
    <w:rPr>
      <w:sz w:val="16"/>
      <w:szCs w:val="16"/>
    </w:rPr>
  </w:style>
  <w:style w:type="paragraph" w:styleId="Textocomentario">
    <w:name w:val="annotation text"/>
    <w:basedOn w:val="Normal"/>
    <w:link w:val="TextocomentarioCar"/>
    <w:uiPriority w:val="99"/>
    <w:semiHidden/>
    <w:unhideWhenUsed/>
    <w:rsid w:val="00C11E0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11E0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C11E05"/>
    <w:rPr>
      <w:b/>
      <w:bCs/>
    </w:rPr>
  </w:style>
  <w:style w:type="character" w:customStyle="1" w:styleId="AsuntodelcomentarioCar">
    <w:name w:val="Asunto del comentario Car"/>
    <w:basedOn w:val="TextocomentarioCar"/>
    <w:link w:val="Asuntodelcomentario"/>
    <w:uiPriority w:val="99"/>
    <w:semiHidden/>
    <w:rsid w:val="00C11E05"/>
    <w:rPr>
      <w:b/>
      <w:bCs/>
      <w:sz w:val="20"/>
      <w:szCs w:val="20"/>
      <w:lang w:val="es-MX"/>
    </w:rPr>
  </w:style>
  <w:style w:type="paragraph" w:styleId="Textodeglobo">
    <w:name w:val="Balloon Text"/>
    <w:basedOn w:val="Normal"/>
    <w:link w:val="TextodegloboCar"/>
    <w:uiPriority w:val="99"/>
    <w:semiHidden/>
    <w:unhideWhenUsed/>
    <w:rsid w:val="00C11E0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11E05"/>
    <w:rPr>
      <w:rFonts w:ascii="Segoe UI" w:hAnsi="Segoe UI" w:cs="Segoe UI"/>
      <w:sz w:val="18"/>
      <w:szCs w:val="18"/>
      <w:lang w:val="es-MX"/>
    </w:rPr>
  </w:style>
  <w:style w:type="character" w:customStyle="1" w:styleId="Ttulo1Car">
    <w:name w:val="Título 1 Car"/>
    <w:basedOn w:val="Fuentedeprrafopredeter"/>
    <w:link w:val="Ttulo1"/>
    <w:uiPriority w:val="9"/>
    <w:rsid w:val="00C21151"/>
    <w:rPr>
      <w:rFonts w:asciiTheme="majorHAnsi" w:eastAsiaTheme="majorEastAsia" w:hAnsiTheme="majorHAnsi" w:cstheme="majorBidi"/>
      <w:color w:val="2F5496" w:themeColor="accent1" w:themeShade="BF"/>
      <w:sz w:val="32"/>
      <w:szCs w:val="32"/>
      <w:lang w:val="es-MX"/>
    </w:rPr>
  </w:style>
  <w:style w:type="paragraph" w:styleId="Encabezado">
    <w:name w:val="header"/>
    <w:basedOn w:val="Normal"/>
    <w:link w:val="EncabezadoCar"/>
    <w:uiPriority w:val="99"/>
    <w:unhideWhenUsed/>
    <w:rsid w:val="00B56B5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56B51"/>
    <w:rPr>
      <w:sz w:val="22"/>
      <w:szCs w:val="22"/>
      <w:lang w:val="es-MX"/>
    </w:rPr>
  </w:style>
  <w:style w:type="paragraph" w:styleId="Piedepgina">
    <w:name w:val="footer"/>
    <w:basedOn w:val="Normal"/>
    <w:link w:val="PiedepginaCar"/>
    <w:uiPriority w:val="99"/>
    <w:unhideWhenUsed/>
    <w:rsid w:val="00B56B5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56B51"/>
    <w:rPr>
      <w:sz w:val="22"/>
      <w:szCs w:val="22"/>
      <w:lang w:val="es-MX"/>
    </w:rPr>
  </w:style>
  <w:style w:type="character" w:customStyle="1" w:styleId="identifier">
    <w:name w:val="identifier"/>
    <w:basedOn w:val="Fuentedeprrafopredeter"/>
    <w:rsid w:val="003E5CCA"/>
  </w:style>
  <w:style w:type="character" w:styleId="Hipervnculo">
    <w:name w:val="Hyperlink"/>
    <w:basedOn w:val="Fuentedeprrafopredeter"/>
    <w:unhideWhenUsed/>
    <w:rsid w:val="003E5CCA"/>
    <w:rPr>
      <w:color w:val="0000FF"/>
      <w:u w:val="single"/>
    </w:rPr>
  </w:style>
  <w:style w:type="paragraph" w:styleId="Prrafodelista">
    <w:name w:val="List Paragraph"/>
    <w:basedOn w:val="Normal"/>
    <w:uiPriority w:val="34"/>
    <w:qFormat/>
    <w:rsid w:val="00082D93"/>
    <w:pPr>
      <w:ind w:left="720"/>
      <w:contextualSpacing/>
    </w:pPr>
  </w:style>
  <w:style w:type="character" w:customStyle="1" w:styleId="Mencinsinresolver1">
    <w:name w:val="Mención sin resolver1"/>
    <w:basedOn w:val="Fuentedeprrafopredeter"/>
    <w:uiPriority w:val="99"/>
    <w:semiHidden/>
    <w:unhideWhenUsed/>
    <w:rsid w:val="00EB700E"/>
    <w:rPr>
      <w:color w:val="605E5C"/>
      <w:shd w:val="clear" w:color="auto" w:fill="E1DFDD"/>
    </w:rPr>
  </w:style>
  <w:style w:type="character" w:styleId="Hipervnculovisitado">
    <w:name w:val="FollowedHyperlink"/>
    <w:basedOn w:val="Fuentedeprrafopredeter"/>
    <w:uiPriority w:val="99"/>
    <w:semiHidden/>
    <w:unhideWhenUsed/>
    <w:rsid w:val="00EB70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4890852">
      <w:bodyDiv w:val="1"/>
      <w:marLeft w:val="0"/>
      <w:marRight w:val="0"/>
      <w:marTop w:val="0"/>
      <w:marBottom w:val="0"/>
      <w:divBdr>
        <w:top w:val="none" w:sz="0" w:space="0" w:color="auto"/>
        <w:left w:val="none" w:sz="0" w:space="0" w:color="auto"/>
        <w:bottom w:val="none" w:sz="0" w:space="0" w:color="auto"/>
        <w:right w:val="none" w:sz="0" w:space="0" w:color="auto"/>
      </w:divBdr>
    </w:div>
    <w:div w:id="1139688934">
      <w:bodyDiv w:val="1"/>
      <w:marLeft w:val="0"/>
      <w:marRight w:val="0"/>
      <w:marTop w:val="0"/>
      <w:marBottom w:val="0"/>
      <w:divBdr>
        <w:top w:val="none" w:sz="0" w:space="0" w:color="auto"/>
        <w:left w:val="none" w:sz="0" w:space="0" w:color="auto"/>
        <w:bottom w:val="none" w:sz="0" w:space="0" w:color="auto"/>
        <w:right w:val="none" w:sz="0" w:space="0" w:color="auto"/>
      </w:divBdr>
    </w:div>
    <w:div w:id="1603033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ctor.martinez@correo.uady.mx" TargetMode="External"/><Relationship Id="rId13" Type="http://schemas.openxmlformats.org/officeDocument/2006/relationships/hyperlink" Target="mailto:sesquive@correo.uady.m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elly.carrillo@hot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victor.martinez@correo.uady.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x_cruzito@hotmail.com" TargetMode="External"/><Relationship Id="rId5" Type="http://schemas.openxmlformats.org/officeDocument/2006/relationships/webSettings" Target="webSettings.xml"/><Relationship Id="rId15" Type="http://schemas.openxmlformats.org/officeDocument/2006/relationships/hyperlink" Target="mailto:valadez@correo.uady.mx" TargetMode="External"/><Relationship Id="rId10" Type="http://schemas.openxmlformats.org/officeDocument/2006/relationships/hyperlink" Target="mailto:lorelore_12@hotmail.com" TargetMode="External"/><Relationship Id="rId4" Type="http://schemas.openxmlformats.org/officeDocument/2006/relationships/settings" Target="settings.xml"/><Relationship Id="rId9" Type="http://schemas.openxmlformats.org/officeDocument/2006/relationships/hyperlink" Target="Tel:+529999240508" TargetMode="External"/><Relationship Id="rId14" Type="http://schemas.openxmlformats.org/officeDocument/2006/relationships/hyperlink" Target="mailto:vpacheco@correo.uady.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35443-F885-4DEA-9305-D142A0E08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11688</Words>
  <Characters>64284</Characters>
  <Application>Microsoft Office Word</Application>
  <DocSecurity>0</DocSecurity>
  <Lines>535</Lines>
  <Paragraphs>151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Manuel Martinez Aguilar</dc:creator>
  <cp:keywords/>
  <dc:description/>
  <cp:lastModifiedBy>Victor Manuel Martinez Aguilar</cp:lastModifiedBy>
  <cp:revision>5</cp:revision>
  <cp:lastPrinted>2020-09-10T22:23:00Z</cp:lastPrinted>
  <dcterms:created xsi:type="dcterms:W3CDTF">2020-09-12T04:31:00Z</dcterms:created>
  <dcterms:modified xsi:type="dcterms:W3CDTF">2020-09-20T15:02:00Z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http://www.zotero.org/styles/taylor-and-francis-national-library-of-medicine</vt:lpwstr>
  </property>
  <property fmtid="{D5CDD505-2E9C-101B-9397-08002B2CF9AE}" pid="21" name="Mendeley Recent Style Name 9_1">
    <vt:lpwstr>Taylor &amp; Francis - National Library of Medicine</vt:lpwstr>
  </property>
  <property fmtid="{D5CDD505-2E9C-101B-9397-08002B2CF9AE}" pid="22" name="Mendeley Document_1">
    <vt:lpwstr>True</vt:lpwstr>
  </property>
  <property fmtid="{D5CDD505-2E9C-101B-9397-08002B2CF9AE}" pid="23" name="Mendeley Unique User Id_1">
    <vt:lpwstr>e344db23-1090-3906-9293-5f41587fada7</vt:lpwstr>
  </property>
  <property fmtid="{D5CDD505-2E9C-101B-9397-08002B2CF9AE}" pid="24" name="Mendeley Citation Style_1">
    <vt:lpwstr>http://www.zotero.org/styles/national-library-of-medicine</vt:lpwstr>
  </property>
</Properties>
</file>